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C2E" w:rsidRPr="00A858BD" w:rsidRDefault="006A1C2E" w:rsidP="006A1C2E">
      <w:pPr>
        <w:shd w:val="clear" w:color="auto" w:fill="E7E6E6" w:themeFill="background2"/>
        <w:rPr>
          <w:b/>
          <w:i/>
          <w:sz w:val="28"/>
          <w:szCs w:val="28"/>
        </w:rPr>
      </w:pPr>
      <w:bookmarkStart w:id="0" w:name="_Hlk37146577"/>
      <w:r w:rsidRPr="00A858BD">
        <w:rPr>
          <w:b/>
          <w:i/>
          <w:sz w:val="28"/>
          <w:szCs w:val="28"/>
        </w:rPr>
        <w:t>Veille réglementaire</w:t>
      </w:r>
      <w:r>
        <w:rPr>
          <w:b/>
          <w:i/>
          <w:sz w:val="28"/>
          <w:szCs w:val="28"/>
        </w:rPr>
        <w:t xml:space="preserve"> #</w:t>
      </w:r>
      <w:r w:rsidR="00DC153A">
        <w:rPr>
          <w:b/>
          <w:i/>
          <w:sz w:val="28"/>
          <w:szCs w:val="28"/>
        </w:rPr>
        <w:t>juin</w:t>
      </w:r>
      <w:r>
        <w:rPr>
          <w:b/>
          <w:i/>
          <w:sz w:val="28"/>
          <w:szCs w:val="28"/>
        </w:rPr>
        <w:t xml:space="preserve"> 202</w:t>
      </w:r>
      <w:r w:rsidR="00FA6690">
        <w:rPr>
          <w:b/>
          <w:i/>
          <w:sz w:val="28"/>
          <w:szCs w:val="28"/>
        </w:rPr>
        <w:t>6</w:t>
      </w:r>
    </w:p>
    <w:p w:rsidR="006A1C2E" w:rsidRDefault="006A1C2E" w:rsidP="006A1C2E"/>
    <w:p w:rsidR="006A1C2E" w:rsidRDefault="006A1C2E" w:rsidP="006A1C2E"/>
    <w:p w:rsidR="006A1C2E" w:rsidRDefault="00E53CE0" w:rsidP="006A1C2E">
      <w:pPr>
        <w:jc w:val="both"/>
      </w:pPr>
      <w:r>
        <w:t>Le département Maîtrise de l’Energie de l’ATEE</w:t>
      </w:r>
      <w:r w:rsidR="00A67E1F">
        <w:t>,</w:t>
      </w:r>
      <w:r>
        <w:t xml:space="preserve"> </w:t>
      </w:r>
      <w:r w:rsidR="006A1C2E">
        <w:t>vous propos</w:t>
      </w:r>
      <w:r>
        <w:t>e</w:t>
      </w:r>
      <w:r w:rsidR="006A1C2E">
        <w:t xml:space="preserve"> </w:t>
      </w:r>
      <w:r>
        <w:t>une</w:t>
      </w:r>
      <w:r w:rsidR="006A1C2E">
        <w:t xml:space="preserve"> sélection mensuelle des textes réglementaires </w:t>
      </w:r>
      <w:r w:rsidR="00717692">
        <w:t>à</w:t>
      </w:r>
      <w:r w:rsidR="006A1C2E">
        <w:t xml:space="preserve"> laquelle </w:t>
      </w:r>
      <w:r w:rsidR="00717692">
        <w:t xml:space="preserve">sont liés </w:t>
      </w:r>
      <w:r w:rsidR="006A1C2E">
        <w:t xml:space="preserve">les thèmes de la maîtrise de l’énergie, l’efficacité énergétique, l’environnement et plus amplement la décarbonation. </w:t>
      </w:r>
    </w:p>
    <w:p w:rsidR="006A1C2E" w:rsidRDefault="006A1C2E" w:rsidP="006A1C2E">
      <w:pPr>
        <w:jc w:val="both"/>
      </w:pPr>
    </w:p>
    <w:bookmarkEnd w:id="0"/>
    <w:p w:rsidR="006A1C2E" w:rsidRDefault="00A67E1F" w:rsidP="006A1C2E">
      <w:pPr>
        <w:jc w:val="both"/>
      </w:pPr>
      <w:r>
        <w:t xml:space="preserve">Elle </w:t>
      </w:r>
      <w:r w:rsidR="006A1C2E" w:rsidRPr="0042040E">
        <w:t xml:space="preserve">s'adresse en premier </w:t>
      </w:r>
      <w:r>
        <w:t xml:space="preserve">lieu </w:t>
      </w:r>
      <w:r w:rsidR="006A1C2E" w:rsidRPr="0042040E">
        <w:t xml:space="preserve">aux </w:t>
      </w:r>
      <w:r>
        <w:t xml:space="preserve">personnes en charge de gérer les économies d’énergie et la décarbonation dans l’industrie qui ne </w:t>
      </w:r>
      <w:r w:rsidR="006A1C2E" w:rsidRPr="0042040E">
        <w:t>dispos</w:t>
      </w:r>
      <w:r>
        <w:t>e</w:t>
      </w:r>
      <w:r w:rsidR="006A1C2E" w:rsidRPr="0042040E">
        <w:t>nt pas de service de veille</w:t>
      </w:r>
      <w:r w:rsidR="006A1C2E">
        <w:t xml:space="preserve"> en interne</w:t>
      </w:r>
      <w:r>
        <w:t>, p</w:t>
      </w:r>
      <w:r w:rsidR="006A1C2E">
        <w:t>uis</w:t>
      </w:r>
      <w:r>
        <w:t xml:space="preserve"> </w:t>
      </w:r>
      <w:r w:rsidR="006A1C2E">
        <w:t>à tous ceux qui souhaitent consolider leur connaissance sur la réglementation.</w:t>
      </w:r>
    </w:p>
    <w:p w:rsidR="006A1C2E" w:rsidRDefault="006A1C2E" w:rsidP="006A1C2E">
      <w:pPr>
        <w:jc w:val="both"/>
      </w:pPr>
    </w:p>
    <w:p w:rsidR="00C44074" w:rsidRDefault="00C44074" w:rsidP="00C44074">
      <w:pPr>
        <w:jc w:val="both"/>
      </w:pPr>
      <w:r>
        <w:t xml:space="preserve">Pour rappel, notre veille réglementaire </w:t>
      </w:r>
      <w:r w:rsidRPr="00457C1A">
        <w:t>est obtenue à partir des textes législatifs et réglementaires</w:t>
      </w:r>
      <w:r>
        <w:t>,</w:t>
      </w:r>
      <w:r w:rsidRPr="00457C1A">
        <w:t xml:space="preserve"> édités par </w:t>
      </w:r>
      <w:proofErr w:type="spellStart"/>
      <w:r w:rsidRPr="00E53CE0">
        <w:rPr>
          <w:i/>
        </w:rPr>
        <w:t>Legifrance</w:t>
      </w:r>
      <w:proofErr w:type="spellEnd"/>
      <w:r>
        <w:t>, le</w:t>
      </w:r>
      <w:r w:rsidRPr="00E53CE0">
        <w:rPr>
          <w:i/>
        </w:rPr>
        <w:t xml:space="preserve"> </w:t>
      </w:r>
      <w:r w:rsidRPr="00457C1A">
        <w:t>service public de la diffusion du droit par l'Internet.</w:t>
      </w:r>
      <w:r w:rsidR="00B11543">
        <w:t xml:space="preserve"> Elle ne fait l’objet d’aucune sous-traitance.</w:t>
      </w:r>
    </w:p>
    <w:p w:rsidR="00C44074" w:rsidRDefault="00C44074" w:rsidP="00C44074">
      <w:pPr>
        <w:jc w:val="both"/>
      </w:pPr>
    </w:p>
    <w:p w:rsidR="006A1C2E" w:rsidRDefault="00DC0BB1" w:rsidP="006A1C2E">
      <w:pPr>
        <w:jc w:val="both"/>
      </w:pPr>
      <w:r w:rsidRPr="00DC0BB1">
        <w:t>La</w:t>
      </w:r>
      <w:r w:rsidR="006A1C2E" w:rsidRPr="00DC0BB1">
        <w:t xml:space="preserve"> </w:t>
      </w:r>
      <w:r w:rsidR="006A1C2E">
        <w:t xml:space="preserve">réglementation est en permanente évolution, il peut arriver que certains textes présentés dans notre veille réglementaire aient déjà fait l’objet, dans l’entretemps, d’une modification : consultez toujours la dernière version en vigueur sur le site </w:t>
      </w:r>
      <w:hyperlink r:id="rId8" w:history="1">
        <w:r w:rsidR="006A1C2E" w:rsidRPr="00C12479">
          <w:rPr>
            <w:rStyle w:val="Lienhypertexte"/>
          </w:rPr>
          <w:t>www.legifrance.gouv.fr</w:t>
        </w:r>
      </w:hyperlink>
      <w:r w:rsidR="006A1C2E">
        <w:t>.</w:t>
      </w:r>
    </w:p>
    <w:p w:rsidR="006A1C2E" w:rsidRDefault="006A1C2E" w:rsidP="00EB5104">
      <w:pPr>
        <w:pStyle w:val="Textebrut"/>
      </w:pPr>
    </w:p>
    <w:p w:rsidR="00DC0BB1" w:rsidRDefault="00DC0BB1" w:rsidP="00EB5104">
      <w:pPr>
        <w:pStyle w:val="Textebrut"/>
      </w:pPr>
    </w:p>
    <w:p w:rsidR="00481309" w:rsidRDefault="00481309" w:rsidP="00EB5104">
      <w:pPr>
        <w:pStyle w:val="Textebrut"/>
      </w:pPr>
    </w:p>
    <w:sdt>
      <w:sdtPr>
        <w:rPr>
          <w:rFonts w:asciiTheme="minorHAnsi" w:eastAsiaTheme="minorHAnsi" w:hAnsiTheme="minorHAnsi" w:cstheme="minorBidi"/>
          <w:color w:val="auto"/>
          <w:sz w:val="22"/>
          <w:szCs w:val="22"/>
          <w:lang w:eastAsia="en-US"/>
        </w:rPr>
        <w:id w:val="-1808469591"/>
        <w:docPartObj>
          <w:docPartGallery w:val="Table of Contents"/>
          <w:docPartUnique/>
        </w:docPartObj>
      </w:sdtPr>
      <w:sdtEndPr>
        <w:rPr>
          <w:b/>
          <w:bCs/>
        </w:rPr>
      </w:sdtEndPr>
      <w:sdtContent>
        <w:p w:rsidR="00481309" w:rsidRDefault="00481309">
          <w:pPr>
            <w:pStyle w:val="En-ttedetabledesmatires"/>
          </w:pPr>
          <w:r>
            <w:t>Table des matières</w:t>
          </w:r>
        </w:p>
        <w:p w:rsidR="00C44F69" w:rsidRDefault="00481309">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235192790" w:history="1">
            <w:r w:rsidR="00C44F69" w:rsidRPr="00F73441">
              <w:rPr>
                <w:rStyle w:val="Lienhypertexte"/>
                <w:noProof/>
              </w:rPr>
              <w:t>Aide financière</w:t>
            </w:r>
            <w:r w:rsidR="00C44F69">
              <w:rPr>
                <w:noProof/>
                <w:webHidden/>
              </w:rPr>
              <w:tab/>
            </w:r>
            <w:r w:rsidR="00C44F69">
              <w:rPr>
                <w:noProof/>
                <w:webHidden/>
              </w:rPr>
              <w:fldChar w:fldCharType="begin"/>
            </w:r>
            <w:r w:rsidR="00C44F69">
              <w:rPr>
                <w:noProof/>
                <w:webHidden/>
              </w:rPr>
              <w:instrText xml:space="preserve"> PAGEREF _Toc235192790 \h </w:instrText>
            </w:r>
            <w:r w:rsidR="00C44F69">
              <w:rPr>
                <w:noProof/>
                <w:webHidden/>
              </w:rPr>
            </w:r>
            <w:r w:rsidR="00C44F69">
              <w:rPr>
                <w:noProof/>
                <w:webHidden/>
              </w:rPr>
              <w:fldChar w:fldCharType="separate"/>
            </w:r>
            <w:r w:rsidR="00C44F69">
              <w:rPr>
                <w:noProof/>
                <w:webHidden/>
              </w:rPr>
              <w:t>2</w:t>
            </w:r>
            <w:r w:rsidR="00C44F69">
              <w:rPr>
                <w:noProof/>
                <w:webHidden/>
              </w:rPr>
              <w:fldChar w:fldCharType="end"/>
            </w:r>
          </w:hyperlink>
        </w:p>
        <w:p w:rsidR="00C44F69" w:rsidRDefault="00C44F69">
          <w:pPr>
            <w:pStyle w:val="TM1"/>
            <w:tabs>
              <w:tab w:val="right" w:leader="dot" w:pos="9062"/>
            </w:tabs>
            <w:rPr>
              <w:rFonts w:eastAsiaTheme="minorEastAsia"/>
              <w:noProof/>
              <w:lang w:eastAsia="fr-FR"/>
            </w:rPr>
          </w:pPr>
          <w:hyperlink w:anchor="_Toc235192791" w:history="1">
            <w:r w:rsidRPr="00F73441">
              <w:rPr>
                <w:rStyle w:val="Lienhypertexte"/>
                <w:noProof/>
              </w:rPr>
              <w:t>Audit énergétique en entreprise</w:t>
            </w:r>
            <w:r>
              <w:rPr>
                <w:noProof/>
                <w:webHidden/>
              </w:rPr>
              <w:tab/>
            </w:r>
            <w:r>
              <w:rPr>
                <w:noProof/>
                <w:webHidden/>
              </w:rPr>
              <w:fldChar w:fldCharType="begin"/>
            </w:r>
            <w:r>
              <w:rPr>
                <w:noProof/>
                <w:webHidden/>
              </w:rPr>
              <w:instrText xml:space="preserve"> PAGEREF _Toc235192791 \h </w:instrText>
            </w:r>
            <w:r>
              <w:rPr>
                <w:noProof/>
                <w:webHidden/>
              </w:rPr>
            </w:r>
            <w:r>
              <w:rPr>
                <w:noProof/>
                <w:webHidden/>
              </w:rPr>
              <w:fldChar w:fldCharType="separate"/>
            </w:r>
            <w:r>
              <w:rPr>
                <w:noProof/>
                <w:webHidden/>
              </w:rPr>
              <w:t>2</w:t>
            </w:r>
            <w:r>
              <w:rPr>
                <w:noProof/>
                <w:webHidden/>
              </w:rPr>
              <w:fldChar w:fldCharType="end"/>
            </w:r>
          </w:hyperlink>
        </w:p>
        <w:p w:rsidR="00C44F69" w:rsidRDefault="00C44F69">
          <w:pPr>
            <w:pStyle w:val="TM1"/>
            <w:tabs>
              <w:tab w:val="right" w:leader="dot" w:pos="9062"/>
            </w:tabs>
            <w:rPr>
              <w:rFonts w:eastAsiaTheme="minorEastAsia"/>
              <w:noProof/>
              <w:lang w:eastAsia="fr-FR"/>
            </w:rPr>
          </w:pPr>
          <w:hyperlink w:anchor="_Toc235192792" w:history="1">
            <w:r w:rsidRPr="00F73441">
              <w:rPr>
                <w:rStyle w:val="Lienhypertexte"/>
                <w:noProof/>
              </w:rPr>
              <w:t>Autoconsommation collective</w:t>
            </w:r>
            <w:r>
              <w:rPr>
                <w:noProof/>
                <w:webHidden/>
              </w:rPr>
              <w:tab/>
            </w:r>
            <w:r>
              <w:rPr>
                <w:noProof/>
                <w:webHidden/>
              </w:rPr>
              <w:fldChar w:fldCharType="begin"/>
            </w:r>
            <w:r>
              <w:rPr>
                <w:noProof/>
                <w:webHidden/>
              </w:rPr>
              <w:instrText xml:space="preserve"> PAGEREF _Toc235192792 \h </w:instrText>
            </w:r>
            <w:r>
              <w:rPr>
                <w:noProof/>
                <w:webHidden/>
              </w:rPr>
            </w:r>
            <w:r>
              <w:rPr>
                <w:noProof/>
                <w:webHidden/>
              </w:rPr>
              <w:fldChar w:fldCharType="separate"/>
            </w:r>
            <w:r>
              <w:rPr>
                <w:noProof/>
                <w:webHidden/>
              </w:rPr>
              <w:t>2</w:t>
            </w:r>
            <w:r>
              <w:rPr>
                <w:noProof/>
                <w:webHidden/>
              </w:rPr>
              <w:fldChar w:fldCharType="end"/>
            </w:r>
          </w:hyperlink>
        </w:p>
        <w:p w:rsidR="00C44F69" w:rsidRDefault="00C44F69">
          <w:pPr>
            <w:pStyle w:val="TM1"/>
            <w:tabs>
              <w:tab w:val="right" w:leader="dot" w:pos="9062"/>
            </w:tabs>
            <w:rPr>
              <w:rFonts w:eastAsiaTheme="minorEastAsia"/>
              <w:noProof/>
              <w:lang w:eastAsia="fr-FR"/>
            </w:rPr>
          </w:pPr>
          <w:hyperlink w:anchor="_Toc235192793" w:history="1">
            <w:r w:rsidRPr="00F73441">
              <w:rPr>
                <w:rStyle w:val="Lienhypertexte"/>
                <w:noProof/>
              </w:rPr>
              <w:t>Certification professionnelle</w:t>
            </w:r>
            <w:r>
              <w:rPr>
                <w:noProof/>
                <w:webHidden/>
              </w:rPr>
              <w:tab/>
            </w:r>
            <w:r>
              <w:rPr>
                <w:noProof/>
                <w:webHidden/>
              </w:rPr>
              <w:fldChar w:fldCharType="begin"/>
            </w:r>
            <w:r>
              <w:rPr>
                <w:noProof/>
                <w:webHidden/>
              </w:rPr>
              <w:instrText xml:space="preserve"> PAGEREF _Toc235192793 \h </w:instrText>
            </w:r>
            <w:r>
              <w:rPr>
                <w:noProof/>
                <w:webHidden/>
              </w:rPr>
            </w:r>
            <w:r>
              <w:rPr>
                <w:noProof/>
                <w:webHidden/>
              </w:rPr>
              <w:fldChar w:fldCharType="separate"/>
            </w:r>
            <w:r>
              <w:rPr>
                <w:noProof/>
                <w:webHidden/>
              </w:rPr>
              <w:t>2</w:t>
            </w:r>
            <w:r>
              <w:rPr>
                <w:noProof/>
                <w:webHidden/>
              </w:rPr>
              <w:fldChar w:fldCharType="end"/>
            </w:r>
          </w:hyperlink>
        </w:p>
        <w:p w:rsidR="00C44F69" w:rsidRDefault="00C44F69">
          <w:pPr>
            <w:pStyle w:val="TM1"/>
            <w:tabs>
              <w:tab w:val="right" w:leader="dot" w:pos="9062"/>
            </w:tabs>
            <w:rPr>
              <w:rFonts w:eastAsiaTheme="minorEastAsia"/>
              <w:noProof/>
              <w:lang w:eastAsia="fr-FR"/>
            </w:rPr>
          </w:pPr>
          <w:hyperlink w:anchor="_Toc235192794" w:history="1">
            <w:r w:rsidRPr="00F73441">
              <w:rPr>
                <w:rStyle w:val="Lienhypertexte"/>
                <w:noProof/>
              </w:rPr>
              <w:t>Certificats d’économies d’énergie</w:t>
            </w:r>
            <w:r>
              <w:rPr>
                <w:noProof/>
                <w:webHidden/>
              </w:rPr>
              <w:tab/>
            </w:r>
            <w:r>
              <w:rPr>
                <w:noProof/>
                <w:webHidden/>
              </w:rPr>
              <w:fldChar w:fldCharType="begin"/>
            </w:r>
            <w:r>
              <w:rPr>
                <w:noProof/>
                <w:webHidden/>
              </w:rPr>
              <w:instrText xml:space="preserve"> PAGEREF _Toc235192794 \h </w:instrText>
            </w:r>
            <w:r>
              <w:rPr>
                <w:noProof/>
                <w:webHidden/>
              </w:rPr>
            </w:r>
            <w:r>
              <w:rPr>
                <w:noProof/>
                <w:webHidden/>
              </w:rPr>
              <w:fldChar w:fldCharType="separate"/>
            </w:r>
            <w:r>
              <w:rPr>
                <w:noProof/>
                <w:webHidden/>
              </w:rPr>
              <w:t>3</w:t>
            </w:r>
            <w:r>
              <w:rPr>
                <w:noProof/>
                <w:webHidden/>
              </w:rPr>
              <w:fldChar w:fldCharType="end"/>
            </w:r>
          </w:hyperlink>
        </w:p>
        <w:p w:rsidR="00C44F69" w:rsidRDefault="00C44F69">
          <w:pPr>
            <w:pStyle w:val="TM1"/>
            <w:tabs>
              <w:tab w:val="right" w:leader="dot" w:pos="9062"/>
            </w:tabs>
            <w:rPr>
              <w:rFonts w:eastAsiaTheme="minorEastAsia"/>
              <w:noProof/>
              <w:lang w:eastAsia="fr-FR"/>
            </w:rPr>
          </w:pPr>
          <w:hyperlink w:anchor="_Toc235192795" w:history="1">
            <w:r w:rsidRPr="00F73441">
              <w:rPr>
                <w:rStyle w:val="Lienhypertexte"/>
                <w:noProof/>
              </w:rPr>
              <w:t>Commission de régulation de l’énergie</w:t>
            </w:r>
            <w:r>
              <w:rPr>
                <w:noProof/>
                <w:webHidden/>
              </w:rPr>
              <w:tab/>
            </w:r>
            <w:r>
              <w:rPr>
                <w:noProof/>
                <w:webHidden/>
              </w:rPr>
              <w:fldChar w:fldCharType="begin"/>
            </w:r>
            <w:r>
              <w:rPr>
                <w:noProof/>
                <w:webHidden/>
              </w:rPr>
              <w:instrText xml:space="preserve"> PAGEREF _Toc235192795 \h </w:instrText>
            </w:r>
            <w:r>
              <w:rPr>
                <w:noProof/>
                <w:webHidden/>
              </w:rPr>
            </w:r>
            <w:r>
              <w:rPr>
                <w:noProof/>
                <w:webHidden/>
              </w:rPr>
              <w:fldChar w:fldCharType="separate"/>
            </w:r>
            <w:r>
              <w:rPr>
                <w:noProof/>
                <w:webHidden/>
              </w:rPr>
              <w:t>4</w:t>
            </w:r>
            <w:r>
              <w:rPr>
                <w:noProof/>
                <w:webHidden/>
              </w:rPr>
              <w:fldChar w:fldCharType="end"/>
            </w:r>
          </w:hyperlink>
        </w:p>
        <w:p w:rsidR="00C44F69" w:rsidRDefault="00C44F69">
          <w:pPr>
            <w:pStyle w:val="TM1"/>
            <w:tabs>
              <w:tab w:val="right" w:leader="dot" w:pos="9062"/>
            </w:tabs>
            <w:rPr>
              <w:rFonts w:eastAsiaTheme="minorEastAsia"/>
              <w:noProof/>
              <w:lang w:eastAsia="fr-FR"/>
            </w:rPr>
          </w:pPr>
          <w:hyperlink w:anchor="_Toc235192796" w:history="1">
            <w:r w:rsidRPr="00F73441">
              <w:rPr>
                <w:rStyle w:val="Lienhypertexte"/>
                <w:noProof/>
              </w:rPr>
              <w:t>Flexibilité électrique</w:t>
            </w:r>
            <w:r>
              <w:rPr>
                <w:noProof/>
                <w:webHidden/>
              </w:rPr>
              <w:tab/>
            </w:r>
            <w:r>
              <w:rPr>
                <w:noProof/>
                <w:webHidden/>
              </w:rPr>
              <w:fldChar w:fldCharType="begin"/>
            </w:r>
            <w:r>
              <w:rPr>
                <w:noProof/>
                <w:webHidden/>
              </w:rPr>
              <w:instrText xml:space="preserve"> PAGEREF _Toc235192796 \h </w:instrText>
            </w:r>
            <w:r>
              <w:rPr>
                <w:noProof/>
                <w:webHidden/>
              </w:rPr>
            </w:r>
            <w:r>
              <w:rPr>
                <w:noProof/>
                <w:webHidden/>
              </w:rPr>
              <w:fldChar w:fldCharType="separate"/>
            </w:r>
            <w:r>
              <w:rPr>
                <w:noProof/>
                <w:webHidden/>
              </w:rPr>
              <w:t>5</w:t>
            </w:r>
            <w:r>
              <w:rPr>
                <w:noProof/>
                <w:webHidden/>
              </w:rPr>
              <w:fldChar w:fldCharType="end"/>
            </w:r>
          </w:hyperlink>
        </w:p>
        <w:p w:rsidR="00C44F69" w:rsidRDefault="00C44F69">
          <w:pPr>
            <w:pStyle w:val="TM1"/>
            <w:tabs>
              <w:tab w:val="right" w:leader="dot" w:pos="9062"/>
            </w:tabs>
            <w:rPr>
              <w:rFonts w:eastAsiaTheme="minorEastAsia"/>
              <w:noProof/>
              <w:lang w:eastAsia="fr-FR"/>
            </w:rPr>
          </w:pPr>
          <w:hyperlink w:anchor="_Toc235192797" w:history="1">
            <w:r w:rsidRPr="00F73441">
              <w:rPr>
                <w:rStyle w:val="Lienhypertexte"/>
                <w:noProof/>
              </w:rPr>
              <w:t>France 2030</w:t>
            </w:r>
            <w:r>
              <w:rPr>
                <w:noProof/>
                <w:webHidden/>
              </w:rPr>
              <w:tab/>
            </w:r>
            <w:r>
              <w:rPr>
                <w:noProof/>
                <w:webHidden/>
              </w:rPr>
              <w:fldChar w:fldCharType="begin"/>
            </w:r>
            <w:r>
              <w:rPr>
                <w:noProof/>
                <w:webHidden/>
              </w:rPr>
              <w:instrText xml:space="preserve"> PAGEREF _Toc235192797 \h </w:instrText>
            </w:r>
            <w:r>
              <w:rPr>
                <w:noProof/>
                <w:webHidden/>
              </w:rPr>
            </w:r>
            <w:r>
              <w:rPr>
                <w:noProof/>
                <w:webHidden/>
              </w:rPr>
              <w:fldChar w:fldCharType="separate"/>
            </w:r>
            <w:r>
              <w:rPr>
                <w:noProof/>
                <w:webHidden/>
              </w:rPr>
              <w:t>5</w:t>
            </w:r>
            <w:r>
              <w:rPr>
                <w:noProof/>
                <w:webHidden/>
              </w:rPr>
              <w:fldChar w:fldCharType="end"/>
            </w:r>
          </w:hyperlink>
        </w:p>
        <w:p w:rsidR="00C44F69" w:rsidRDefault="00C44F69">
          <w:pPr>
            <w:pStyle w:val="TM1"/>
            <w:tabs>
              <w:tab w:val="right" w:leader="dot" w:pos="9062"/>
            </w:tabs>
            <w:rPr>
              <w:rFonts w:eastAsiaTheme="minorEastAsia"/>
              <w:noProof/>
              <w:lang w:eastAsia="fr-FR"/>
            </w:rPr>
          </w:pPr>
          <w:hyperlink w:anchor="_Toc235192798" w:history="1">
            <w:r w:rsidRPr="00F73441">
              <w:rPr>
                <w:rStyle w:val="Lienhypertexte"/>
                <w:noProof/>
              </w:rPr>
              <w:t>Géothermie</w:t>
            </w:r>
            <w:r>
              <w:rPr>
                <w:noProof/>
                <w:webHidden/>
              </w:rPr>
              <w:tab/>
            </w:r>
            <w:r>
              <w:rPr>
                <w:noProof/>
                <w:webHidden/>
              </w:rPr>
              <w:fldChar w:fldCharType="begin"/>
            </w:r>
            <w:r>
              <w:rPr>
                <w:noProof/>
                <w:webHidden/>
              </w:rPr>
              <w:instrText xml:space="preserve"> PAGEREF _Toc235192798 \h </w:instrText>
            </w:r>
            <w:r>
              <w:rPr>
                <w:noProof/>
                <w:webHidden/>
              </w:rPr>
            </w:r>
            <w:r>
              <w:rPr>
                <w:noProof/>
                <w:webHidden/>
              </w:rPr>
              <w:fldChar w:fldCharType="separate"/>
            </w:r>
            <w:r>
              <w:rPr>
                <w:noProof/>
                <w:webHidden/>
              </w:rPr>
              <w:t>6</w:t>
            </w:r>
            <w:r>
              <w:rPr>
                <w:noProof/>
                <w:webHidden/>
              </w:rPr>
              <w:fldChar w:fldCharType="end"/>
            </w:r>
          </w:hyperlink>
        </w:p>
        <w:p w:rsidR="00C44F69" w:rsidRDefault="00C44F69">
          <w:pPr>
            <w:pStyle w:val="TM1"/>
            <w:tabs>
              <w:tab w:val="right" w:leader="dot" w:pos="9062"/>
            </w:tabs>
            <w:rPr>
              <w:rFonts w:eastAsiaTheme="minorEastAsia"/>
              <w:noProof/>
              <w:lang w:eastAsia="fr-FR"/>
            </w:rPr>
          </w:pPr>
          <w:hyperlink w:anchor="_Toc235192799" w:history="1">
            <w:r w:rsidRPr="00F73441">
              <w:rPr>
                <w:rStyle w:val="Lienhypertexte"/>
                <w:noProof/>
              </w:rPr>
              <w:t>Hydroélectricité</w:t>
            </w:r>
            <w:r>
              <w:rPr>
                <w:noProof/>
                <w:webHidden/>
              </w:rPr>
              <w:tab/>
            </w:r>
            <w:r>
              <w:rPr>
                <w:noProof/>
                <w:webHidden/>
              </w:rPr>
              <w:fldChar w:fldCharType="begin"/>
            </w:r>
            <w:r>
              <w:rPr>
                <w:noProof/>
                <w:webHidden/>
              </w:rPr>
              <w:instrText xml:space="preserve"> PAGEREF _Toc235192799 \h </w:instrText>
            </w:r>
            <w:r>
              <w:rPr>
                <w:noProof/>
                <w:webHidden/>
              </w:rPr>
            </w:r>
            <w:r>
              <w:rPr>
                <w:noProof/>
                <w:webHidden/>
              </w:rPr>
              <w:fldChar w:fldCharType="separate"/>
            </w:r>
            <w:r>
              <w:rPr>
                <w:noProof/>
                <w:webHidden/>
              </w:rPr>
              <w:t>6</w:t>
            </w:r>
            <w:r>
              <w:rPr>
                <w:noProof/>
                <w:webHidden/>
              </w:rPr>
              <w:fldChar w:fldCharType="end"/>
            </w:r>
          </w:hyperlink>
        </w:p>
        <w:p w:rsidR="00C44F69" w:rsidRDefault="00C44F69">
          <w:pPr>
            <w:pStyle w:val="TM1"/>
            <w:tabs>
              <w:tab w:val="right" w:leader="dot" w:pos="9062"/>
            </w:tabs>
            <w:rPr>
              <w:rFonts w:eastAsiaTheme="minorEastAsia"/>
              <w:noProof/>
              <w:lang w:eastAsia="fr-FR"/>
            </w:rPr>
          </w:pPr>
          <w:hyperlink w:anchor="_Toc235192800" w:history="1">
            <w:r w:rsidRPr="00F73441">
              <w:rPr>
                <w:rStyle w:val="Lienhypertexte"/>
                <w:noProof/>
              </w:rPr>
              <w:t>ICPE</w:t>
            </w:r>
            <w:r>
              <w:rPr>
                <w:noProof/>
                <w:webHidden/>
              </w:rPr>
              <w:tab/>
            </w:r>
            <w:r>
              <w:rPr>
                <w:noProof/>
                <w:webHidden/>
              </w:rPr>
              <w:fldChar w:fldCharType="begin"/>
            </w:r>
            <w:r>
              <w:rPr>
                <w:noProof/>
                <w:webHidden/>
              </w:rPr>
              <w:instrText xml:space="preserve"> PAGEREF _Toc235192800 \h </w:instrText>
            </w:r>
            <w:r>
              <w:rPr>
                <w:noProof/>
                <w:webHidden/>
              </w:rPr>
            </w:r>
            <w:r>
              <w:rPr>
                <w:noProof/>
                <w:webHidden/>
              </w:rPr>
              <w:fldChar w:fldCharType="separate"/>
            </w:r>
            <w:r>
              <w:rPr>
                <w:noProof/>
                <w:webHidden/>
              </w:rPr>
              <w:t>7</w:t>
            </w:r>
            <w:r>
              <w:rPr>
                <w:noProof/>
                <w:webHidden/>
              </w:rPr>
              <w:fldChar w:fldCharType="end"/>
            </w:r>
          </w:hyperlink>
        </w:p>
        <w:p w:rsidR="00C44F69" w:rsidRDefault="00C44F69">
          <w:pPr>
            <w:pStyle w:val="TM1"/>
            <w:tabs>
              <w:tab w:val="right" w:leader="dot" w:pos="9062"/>
            </w:tabs>
            <w:rPr>
              <w:rFonts w:eastAsiaTheme="minorEastAsia"/>
              <w:noProof/>
              <w:lang w:eastAsia="fr-FR"/>
            </w:rPr>
          </w:pPr>
          <w:hyperlink w:anchor="_Toc235192801" w:history="1">
            <w:r w:rsidRPr="00F73441">
              <w:rPr>
                <w:rStyle w:val="Lienhypertexte"/>
                <w:noProof/>
              </w:rPr>
              <w:t>Prime de transition énergétique</w:t>
            </w:r>
            <w:r>
              <w:rPr>
                <w:noProof/>
                <w:webHidden/>
              </w:rPr>
              <w:tab/>
            </w:r>
            <w:r>
              <w:rPr>
                <w:noProof/>
                <w:webHidden/>
              </w:rPr>
              <w:fldChar w:fldCharType="begin"/>
            </w:r>
            <w:r>
              <w:rPr>
                <w:noProof/>
                <w:webHidden/>
              </w:rPr>
              <w:instrText xml:space="preserve"> PAGEREF _Toc235192801 \h </w:instrText>
            </w:r>
            <w:r>
              <w:rPr>
                <w:noProof/>
                <w:webHidden/>
              </w:rPr>
            </w:r>
            <w:r>
              <w:rPr>
                <w:noProof/>
                <w:webHidden/>
              </w:rPr>
              <w:fldChar w:fldCharType="separate"/>
            </w:r>
            <w:r>
              <w:rPr>
                <w:noProof/>
                <w:webHidden/>
              </w:rPr>
              <w:t>8</w:t>
            </w:r>
            <w:r>
              <w:rPr>
                <w:noProof/>
                <w:webHidden/>
              </w:rPr>
              <w:fldChar w:fldCharType="end"/>
            </w:r>
          </w:hyperlink>
        </w:p>
        <w:p w:rsidR="00C44F69" w:rsidRDefault="00C44F69">
          <w:pPr>
            <w:pStyle w:val="TM1"/>
            <w:tabs>
              <w:tab w:val="right" w:leader="dot" w:pos="9062"/>
            </w:tabs>
            <w:rPr>
              <w:rFonts w:eastAsiaTheme="minorEastAsia"/>
              <w:noProof/>
              <w:lang w:eastAsia="fr-FR"/>
            </w:rPr>
          </w:pPr>
          <w:hyperlink w:anchor="_Toc235192802" w:history="1">
            <w:r w:rsidRPr="00F73441">
              <w:rPr>
                <w:rStyle w:val="Lienhypertexte"/>
                <w:noProof/>
              </w:rPr>
              <w:t>Solaire photovoltaïque</w:t>
            </w:r>
            <w:r>
              <w:rPr>
                <w:noProof/>
                <w:webHidden/>
              </w:rPr>
              <w:tab/>
            </w:r>
            <w:r>
              <w:rPr>
                <w:noProof/>
                <w:webHidden/>
              </w:rPr>
              <w:fldChar w:fldCharType="begin"/>
            </w:r>
            <w:r>
              <w:rPr>
                <w:noProof/>
                <w:webHidden/>
              </w:rPr>
              <w:instrText xml:space="preserve"> PAGEREF _Toc235192802 \h </w:instrText>
            </w:r>
            <w:r>
              <w:rPr>
                <w:noProof/>
                <w:webHidden/>
              </w:rPr>
            </w:r>
            <w:r>
              <w:rPr>
                <w:noProof/>
                <w:webHidden/>
              </w:rPr>
              <w:fldChar w:fldCharType="separate"/>
            </w:r>
            <w:r>
              <w:rPr>
                <w:noProof/>
                <w:webHidden/>
              </w:rPr>
              <w:t>9</w:t>
            </w:r>
            <w:r>
              <w:rPr>
                <w:noProof/>
                <w:webHidden/>
              </w:rPr>
              <w:fldChar w:fldCharType="end"/>
            </w:r>
          </w:hyperlink>
        </w:p>
        <w:p w:rsidR="00C44F69" w:rsidRDefault="00C44F69">
          <w:pPr>
            <w:pStyle w:val="TM1"/>
            <w:tabs>
              <w:tab w:val="right" w:leader="dot" w:pos="9062"/>
            </w:tabs>
            <w:rPr>
              <w:rFonts w:eastAsiaTheme="minorEastAsia"/>
              <w:noProof/>
              <w:lang w:eastAsia="fr-FR"/>
            </w:rPr>
          </w:pPr>
          <w:hyperlink w:anchor="_Toc235192803" w:history="1">
            <w:r w:rsidRPr="00F73441">
              <w:rPr>
                <w:rStyle w:val="Lienhypertexte"/>
                <w:noProof/>
              </w:rPr>
              <w:t>Transport</w:t>
            </w:r>
            <w:r>
              <w:rPr>
                <w:noProof/>
                <w:webHidden/>
              </w:rPr>
              <w:tab/>
            </w:r>
            <w:r>
              <w:rPr>
                <w:noProof/>
                <w:webHidden/>
              </w:rPr>
              <w:fldChar w:fldCharType="begin"/>
            </w:r>
            <w:r>
              <w:rPr>
                <w:noProof/>
                <w:webHidden/>
              </w:rPr>
              <w:instrText xml:space="preserve"> PAGEREF _Toc235192803 \h </w:instrText>
            </w:r>
            <w:r>
              <w:rPr>
                <w:noProof/>
                <w:webHidden/>
              </w:rPr>
            </w:r>
            <w:r>
              <w:rPr>
                <w:noProof/>
                <w:webHidden/>
              </w:rPr>
              <w:fldChar w:fldCharType="separate"/>
            </w:r>
            <w:r>
              <w:rPr>
                <w:noProof/>
                <w:webHidden/>
              </w:rPr>
              <w:t>9</w:t>
            </w:r>
            <w:r>
              <w:rPr>
                <w:noProof/>
                <w:webHidden/>
              </w:rPr>
              <w:fldChar w:fldCharType="end"/>
            </w:r>
          </w:hyperlink>
        </w:p>
        <w:p w:rsidR="00C44F69" w:rsidRDefault="00C44F69">
          <w:pPr>
            <w:pStyle w:val="TM1"/>
            <w:tabs>
              <w:tab w:val="right" w:leader="dot" w:pos="9062"/>
            </w:tabs>
            <w:rPr>
              <w:rFonts w:eastAsiaTheme="minorEastAsia"/>
              <w:noProof/>
              <w:lang w:eastAsia="fr-FR"/>
            </w:rPr>
          </w:pPr>
          <w:hyperlink w:anchor="_Toc235192804" w:history="1">
            <w:r w:rsidRPr="00F73441">
              <w:rPr>
                <w:rStyle w:val="Lienhypertexte"/>
                <w:noProof/>
              </w:rPr>
              <w:t>TURPE</w:t>
            </w:r>
            <w:r>
              <w:rPr>
                <w:noProof/>
                <w:webHidden/>
              </w:rPr>
              <w:tab/>
            </w:r>
            <w:r>
              <w:rPr>
                <w:noProof/>
                <w:webHidden/>
              </w:rPr>
              <w:fldChar w:fldCharType="begin"/>
            </w:r>
            <w:r>
              <w:rPr>
                <w:noProof/>
                <w:webHidden/>
              </w:rPr>
              <w:instrText xml:space="preserve"> PAGEREF _Toc235192804 \h </w:instrText>
            </w:r>
            <w:r>
              <w:rPr>
                <w:noProof/>
                <w:webHidden/>
              </w:rPr>
            </w:r>
            <w:r>
              <w:rPr>
                <w:noProof/>
                <w:webHidden/>
              </w:rPr>
              <w:fldChar w:fldCharType="separate"/>
            </w:r>
            <w:r>
              <w:rPr>
                <w:noProof/>
                <w:webHidden/>
              </w:rPr>
              <w:t>10</w:t>
            </w:r>
            <w:r>
              <w:rPr>
                <w:noProof/>
                <w:webHidden/>
              </w:rPr>
              <w:fldChar w:fldCharType="end"/>
            </w:r>
          </w:hyperlink>
        </w:p>
        <w:p w:rsidR="00481309" w:rsidRDefault="00481309">
          <w:r>
            <w:rPr>
              <w:b/>
              <w:bCs/>
            </w:rPr>
            <w:fldChar w:fldCharType="end"/>
          </w:r>
        </w:p>
      </w:sdtContent>
    </w:sdt>
    <w:p w:rsidR="00A84207" w:rsidRDefault="00A84207">
      <w:pPr>
        <w:spacing w:after="160" w:line="259" w:lineRule="auto"/>
        <w:rPr>
          <w:rFonts w:ascii="Calibri" w:hAnsi="Calibri"/>
          <w:szCs w:val="21"/>
        </w:rPr>
      </w:pPr>
      <w:r>
        <w:br w:type="page"/>
      </w:r>
    </w:p>
    <w:p w:rsidR="008E1A3B" w:rsidRDefault="008938A2" w:rsidP="008938A2">
      <w:pPr>
        <w:pStyle w:val="Titre1"/>
      </w:pPr>
      <w:bookmarkStart w:id="1" w:name="_Toc235192790"/>
      <w:r>
        <w:lastRenderedPageBreak/>
        <w:t>Aide financière</w:t>
      </w:r>
      <w:bookmarkEnd w:id="1"/>
    </w:p>
    <w:p w:rsidR="008938A2" w:rsidRDefault="008938A2" w:rsidP="008E1A3B"/>
    <w:p w:rsidR="008938A2" w:rsidRPr="00CC543E" w:rsidRDefault="00CC543E" w:rsidP="00CC543E">
      <w:pPr>
        <w:pBdr>
          <w:left w:val="single" w:sz="4" w:space="4" w:color="auto"/>
        </w:pBdr>
        <w:jc w:val="both"/>
        <w:rPr>
          <w:b/>
        </w:rPr>
      </w:pPr>
      <w:r w:rsidRPr="00CC543E">
        <w:rPr>
          <w:b/>
        </w:rPr>
        <w:sym w:font="Wingdings" w:char="F0E8"/>
      </w:r>
      <w:r w:rsidRPr="00CC543E">
        <w:rPr>
          <w:b/>
        </w:rPr>
        <w:t xml:space="preserve"> Création d’une aide financière exceptionnelle pour les entreprises ayant acquis du gazole non routier livré au cours des mois de mai, juin, juillet ou août 2026 pour la réalisation de travaux agricoles ou forestiers</w:t>
      </w:r>
    </w:p>
    <w:p w:rsidR="00CC543E" w:rsidRDefault="00CC543E" w:rsidP="00CC543E">
      <w:pPr>
        <w:pBdr>
          <w:left w:val="single" w:sz="4" w:space="4" w:color="auto"/>
        </w:pBdr>
      </w:pPr>
    </w:p>
    <w:p w:rsidR="008938A2" w:rsidRPr="008938A2" w:rsidRDefault="00DC4DD5" w:rsidP="00CC543E">
      <w:pPr>
        <w:pStyle w:val="Textebrut"/>
        <w:pBdr>
          <w:left w:val="single" w:sz="4" w:space="4" w:color="auto"/>
        </w:pBdr>
        <w:jc w:val="both"/>
        <w:rPr>
          <w:i/>
          <w:color w:val="000000" w:themeColor="text1"/>
        </w:rPr>
      </w:pPr>
      <w:hyperlink r:id="rId9" w:history="1">
        <w:r w:rsidR="008938A2" w:rsidRPr="008938A2">
          <w:rPr>
            <w:rStyle w:val="Lienhypertexte"/>
            <w:b/>
            <w:i/>
            <w:color w:val="000000" w:themeColor="text1"/>
          </w:rPr>
          <w:t>Décret n° 2026-477 du 10 juin 2026</w:t>
        </w:r>
        <w:r w:rsidR="008938A2" w:rsidRPr="008938A2">
          <w:rPr>
            <w:rStyle w:val="Lienhypertexte"/>
            <w:i/>
            <w:color w:val="000000" w:themeColor="text1"/>
          </w:rPr>
          <w:t xml:space="preserve"> portant création d'une aide financière pour l'acquisition de gazole non routier utilisé pour la réalisation de travaux agricoles et forestiers.</w:t>
        </w:r>
      </w:hyperlink>
    </w:p>
    <w:p w:rsidR="008938A2" w:rsidRDefault="008938A2" w:rsidP="008938A2">
      <w:pPr>
        <w:pStyle w:val="Textebrut"/>
      </w:pPr>
    </w:p>
    <w:p w:rsidR="006C75B5" w:rsidRDefault="006C75B5" w:rsidP="008938A2">
      <w:pPr>
        <w:pStyle w:val="Textebrut"/>
      </w:pPr>
    </w:p>
    <w:p w:rsidR="006C75B5" w:rsidRDefault="006C75B5" w:rsidP="008938A2">
      <w:pPr>
        <w:pStyle w:val="Textebrut"/>
      </w:pPr>
    </w:p>
    <w:p w:rsidR="008938A2" w:rsidRDefault="006C75B5" w:rsidP="006C75B5">
      <w:pPr>
        <w:pStyle w:val="Titre1"/>
      </w:pPr>
      <w:bookmarkStart w:id="2" w:name="_Toc235192791"/>
      <w:r>
        <w:t>Audit énergétique en entreprise</w:t>
      </w:r>
      <w:bookmarkEnd w:id="2"/>
      <w:r w:rsidR="008938A2">
        <w:t xml:space="preserve">      </w:t>
      </w:r>
    </w:p>
    <w:p w:rsidR="006C75B5" w:rsidRDefault="006C75B5" w:rsidP="006C75B5"/>
    <w:p w:rsidR="006C75B5" w:rsidRPr="006C75B5" w:rsidRDefault="006C75B5" w:rsidP="006C75B5">
      <w:pPr>
        <w:pBdr>
          <w:left w:val="single" w:sz="4" w:space="4" w:color="auto"/>
        </w:pBdr>
        <w:jc w:val="both"/>
        <w:rPr>
          <w:b/>
        </w:rPr>
      </w:pPr>
      <w:r w:rsidRPr="006C75B5">
        <w:rPr>
          <w:b/>
        </w:rPr>
        <w:sym w:font="Wingdings" w:char="F0E8"/>
      </w:r>
      <w:r w:rsidRPr="006C75B5">
        <w:rPr>
          <w:b/>
        </w:rPr>
        <w:t xml:space="preserve"> Prolongation de la reconnaissance de compétence transitoire des prestataires qualifiés pour l’audit énergétique prévu au code de l’énergie</w:t>
      </w:r>
    </w:p>
    <w:p w:rsidR="006C75B5" w:rsidRDefault="006C75B5" w:rsidP="006C75B5">
      <w:pPr>
        <w:pBdr>
          <w:left w:val="single" w:sz="4" w:space="4" w:color="auto"/>
        </w:pBdr>
        <w:jc w:val="both"/>
      </w:pPr>
    </w:p>
    <w:p w:rsidR="006C75B5" w:rsidRPr="006C75B5" w:rsidRDefault="006C75B5" w:rsidP="006C75B5">
      <w:pPr>
        <w:pBdr>
          <w:left w:val="single" w:sz="4" w:space="4" w:color="auto"/>
        </w:pBdr>
        <w:jc w:val="both"/>
      </w:pPr>
      <w:r>
        <w:t>L</w:t>
      </w:r>
      <w:r>
        <w:t xml:space="preserve">e décret prolonge jusqu’au </w:t>
      </w:r>
      <w:r w:rsidRPr="001C43EF">
        <w:rPr>
          <w:b/>
        </w:rPr>
        <w:t>30 juin 2027</w:t>
      </w:r>
      <w:r>
        <w:t xml:space="preserve"> la reconnaissance de compétence transitoire des </w:t>
      </w:r>
      <w:r>
        <w:t>p</w:t>
      </w:r>
      <w:r>
        <w:t>restataires qualifiés pour la réalisation de l’audit énergétique en entreprise prévu à l’article L. 233-1 du code de l’énergie.</w:t>
      </w:r>
    </w:p>
    <w:p w:rsidR="006C75B5" w:rsidRDefault="006C75B5" w:rsidP="006C75B5">
      <w:pPr>
        <w:pStyle w:val="Textebrut"/>
        <w:pBdr>
          <w:left w:val="single" w:sz="4" w:space="4" w:color="auto"/>
        </w:pBdr>
      </w:pPr>
    </w:p>
    <w:p w:rsidR="006C75B5" w:rsidRPr="006C75B5" w:rsidRDefault="006C75B5" w:rsidP="006C75B5">
      <w:pPr>
        <w:pStyle w:val="Textebrut"/>
        <w:pBdr>
          <w:left w:val="single" w:sz="4" w:space="4" w:color="auto"/>
        </w:pBdr>
        <w:jc w:val="both"/>
        <w:rPr>
          <w:i/>
        </w:rPr>
      </w:pPr>
      <w:hyperlink r:id="rId10" w:history="1">
        <w:r w:rsidRPr="006C75B5">
          <w:rPr>
            <w:rStyle w:val="Lienhypertexte"/>
            <w:b/>
            <w:i/>
            <w:color w:val="auto"/>
          </w:rPr>
          <w:t>Décret n° 2026-564 du 29 juin 2026</w:t>
        </w:r>
        <w:r w:rsidRPr="006C75B5">
          <w:rPr>
            <w:rStyle w:val="Lienhypertexte"/>
            <w:i/>
            <w:color w:val="auto"/>
          </w:rPr>
          <w:t xml:space="preserve"> maintenant à titre transitoire la reconnaissance de compétence des prestataires qualifiés de l'audit énergétique en entreprise.</w:t>
        </w:r>
      </w:hyperlink>
    </w:p>
    <w:p w:rsidR="006C75B5" w:rsidRDefault="006C75B5" w:rsidP="006C75B5">
      <w:pPr>
        <w:pStyle w:val="Textebrut"/>
      </w:pPr>
    </w:p>
    <w:p w:rsidR="006C75B5" w:rsidRDefault="006C75B5" w:rsidP="006C75B5">
      <w:pPr>
        <w:pStyle w:val="Textebrut"/>
      </w:pPr>
    </w:p>
    <w:p w:rsidR="008259EA" w:rsidRDefault="008259EA" w:rsidP="006C75B5">
      <w:pPr>
        <w:pStyle w:val="Textebrut"/>
      </w:pPr>
    </w:p>
    <w:p w:rsidR="008938A2" w:rsidRDefault="00E84A20" w:rsidP="00E84A20">
      <w:pPr>
        <w:pStyle w:val="Titre1"/>
      </w:pPr>
      <w:bookmarkStart w:id="3" w:name="_Toc235192792"/>
      <w:r>
        <w:t>Autoconsommation collective</w:t>
      </w:r>
      <w:bookmarkEnd w:id="3"/>
    </w:p>
    <w:p w:rsidR="00E84A20" w:rsidRDefault="00E84A20" w:rsidP="00E84A20"/>
    <w:p w:rsidR="002C6561" w:rsidRPr="002C6561" w:rsidRDefault="002C6561" w:rsidP="002C6561">
      <w:pPr>
        <w:pBdr>
          <w:left w:val="single" w:sz="4" w:space="4" w:color="auto"/>
        </w:pBdr>
        <w:jc w:val="both"/>
        <w:rPr>
          <w:b/>
        </w:rPr>
      </w:pPr>
      <w:r w:rsidRPr="002C6561">
        <w:rPr>
          <w:b/>
        </w:rPr>
        <w:sym w:font="Wingdings" w:char="F0E8"/>
      </w:r>
      <w:r w:rsidRPr="002C6561">
        <w:rPr>
          <w:b/>
        </w:rPr>
        <w:t xml:space="preserve"> A</w:t>
      </w:r>
      <w:r w:rsidRPr="002C6561">
        <w:rPr>
          <w:b/>
        </w:rPr>
        <w:t>mélioration des règles relatives à la répartition de l’énergie autoconsommée au sein d’une opération</w:t>
      </w:r>
      <w:r w:rsidRPr="002C6561">
        <w:rPr>
          <w:b/>
        </w:rPr>
        <w:t xml:space="preserve"> </w:t>
      </w:r>
      <w:r w:rsidRPr="002C6561">
        <w:rPr>
          <w:b/>
        </w:rPr>
        <w:t>d’autoconsommation collective</w:t>
      </w:r>
    </w:p>
    <w:p w:rsidR="002C6561" w:rsidRDefault="002C6561" w:rsidP="002C6561">
      <w:pPr>
        <w:pBdr>
          <w:left w:val="single" w:sz="4" w:space="4" w:color="auto"/>
        </w:pBdr>
      </w:pPr>
    </w:p>
    <w:p w:rsidR="002C6561" w:rsidRDefault="002C6561" w:rsidP="002C6561">
      <w:pPr>
        <w:pBdr>
          <w:left w:val="single" w:sz="4" w:space="4" w:color="auto"/>
        </w:pBdr>
        <w:jc w:val="both"/>
      </w:pPr>
      <w:r>
        <w:t>Le présent décret précise l’</w:t>
      </w:r>
      <w:r>
        <w:t>amélioration des règles relatives à la répartition de l’énergie autoconsommée au sein d’une opération d’autoconsommation collective afin d’instaurer un principe de maximisation de l’autoconsommation au sein d’une opération d’autoconsommation collective et de supprimer la possibilité pour les opérations d’autoconsommation collective de modifier, après l’ouverture du marché organisé de l’électricité à cours comptant pour livraison le lendemain, la répartition de l’énergie entre la quantité autoconsommée totale et celle valorisée en dehors de l’opération d’autoconsommation et la répartition de l’énergie entre les consommateurs finals participant à l’opération d’autoconsommation collective.</w:t>
      </w:r>
    </w:p>
    <w:p w:rsidR="002C6561" w:rsidRDefault="002C6561" w:rsidP="002C6561">
      <w:pPr>
        <w:pBdr>
          <w:left w:val="single" w:sz="4" w:space="4" w:color="auto"/>
        </w:pBdr>
      </w:pPr>
    </w:p>
    <w:p w:rsidR="00E84A20" w:rsidRPr="002C6561" w:rsidRDefault="002C6561" w:rsidP="002C6561">
      <w:pPr>
        <w:pBdr>
          <w:left w:val="single" w:sz="4" w:space="4" w:color="auto"/>
        </w:pBdr>
        <w:jc w:val="both"/>
        <w:rPr>
          <w:i/>
        </w:rPr>
      </w:pPr>
      <w:hyperlink r:id="rId11" w:history="1">
        <w:r w:rsidR="00E84A20" w:rsidRPr="002C6561">
          <w:rPr>
            <w:rStyle w:val="Lienhypertexte"/>
            <w:b/>
            <w:i/>
            <w:color w:val="auto"/>
          </w:rPr>
          <w:t>Décret n° 2026-561 du 26 juin 2026</w:t>
        </w:r>
        <w:r w:rsidR="00E84A20" w:rsidRPr="002C6561">
          <w:rPr>
            <w:rStyle w:val="Lienhypertexte"/>
            <w:i/>
            <w:color w:val="auto"/>
          </w:rPr>
          <w:t xml:space="preserve"> relatif aux règles de répartition de l'énergie au sein d'une opération d'autoconsommation collective</w:t>
        </w:r>
        <w:r w:rsidRPr="002C6561">
          <w:rPr>
            <w:rStyle w:val="Lienhypertexte"/>
            <w:i/>
            <w:color w:val="auto"/>
          </w:rPr>
          <w:t>.</w:t>
        </w:r>
      </w:hyperlink>
    </w:p>
    <w:p w:rsidR="002C6561" w:rsidRDefault="002C6561" w:rsidP="00E84A20"/>
    <w:p w:rsidR="00E84A20" w:rsidRDefault="00E84A20" w:rsidP="00E84A20"/>
    <w:p w:rsidR="008259EA" w:rsidRPr="00E84A20" w:rsidRDefault="008259EA" w:rsidP="00E84A20"/>
    <w:p w:rsidR="000E6286" w:rsidRDefault="000E6286" w:rsidP="000E6286">
      <w:pPr>
        <w:pStyle w:val="Titre1"/>
      </w:pPr>
      <w:bookmarkStart w:id="4" w:name="_Toc235192793"/>
      <w:r>
        <w:t>Certification professionnelle</w:t>
      </w:r>
      <w:bookmarkEnd w:id="4"/>
    </w:p>
    <w:p w:rsidR="000E6286" w:rsidRDefault="000E6286" w:rsidP="000E6286">
      <w:pPr>
        <w:jc w:val="both"/>
      </w:pPr>
    </w:p>
    <w:p w:rsidR="000B1290" w:rsidRDefault="000B1290" w:rsidP="000B1290">
      <w:pPr>
        <w:pBdr>
          <w:left w:val="single" w:sz="4" w:space="4" w:color="auto"/>
        </w:pBdr>
        <w:jc w:val="both"/>
      </w:pPr>
      <w:r>
        <w:sym w:font="Wingdings" w:char="F0E8"/>
      </w:r>
      <w:r>
        <w:t xml:space="preserve"> </w:t>
      </w:r>
      <w:r w:rsidRPr="000B1290">
        <w:rPr>
          <w:b/>
        </w:rPr>
        <w:t>Révision du titre professionnel de monteur en calorifuge industriel</w:t>
      </w:r>
    </w:p>
    <w:p w:rsidR="000B1290" w:rsidRDefault="000B1290" w:rsidP="000B1290">
      <w:pPr>
        <w:pBdr>
          <w:left w:val="single" w:sz="4" w:space="4" w:color="auto"/>
        </w:pBdr>
        <w:jc w:val="both"/>
      </w:pPr>
    </w:p>
    <w:p w:rsidR="000B1290" w:rsidRDefault="000B1290" w:rsidP="000B1290">
      <w:pPr>
        <w:pBdr>
          <w:left w:val="single" w:sz="4" w:space="4" w:color="auto"/>
        </w:pBdr>
        <w:jc w:val="both"/>
      </w:pPr>
      <w:r>
        <w:lastRenderedPageBreak/>
        <w:t>Le titre professionnel de monteur en calorifuge industriel est révisé. Il est enregistré dans le répertoire national des certifications professionnelles sous le même intitulé pour une durée de cinq ans à compter du 29 juin 2026. Il est classé au niveau 3 du cadre national des certifications professionnelles et dans le domaine d’activité 233 (code NSF</w:t>
      </w:r>
      <w:r>
        <w:t xml:space="preserve">). </w:t>
      </w:r>
    </w:p>
    <w:p w:rsidR="000B1290" w:rsidRDefault="000B1290" w:rsidP="000B1290">
      <w:pPr>
        <w:pBdr>
          <w:left w:val="single" w:sz="4" w:space="4" w:color="auto"/>
        </w:pBdr>
        <w:jc w:val="both"/>
      </w:pPr>
      <w:r>
        <w:t>[…]</w:t>
      </w:r>
    </w:p>
    <w:p w:rsidR="008259EA" w:rsidRDefault="008259EA" w:rsidP="000B1290">
      <w:pPr>
        <w:pStyle w:val="Textebrut"/>
        <w:pBdr>
          <w:left w:val="single" w:sz="4" w:space="4" w:color="auto"/>
        </w:pBdr>
        <w:jc w:val="both"/>
        <w:rPr>
          <w:rFonts w:asciiTheme="minorHAnsi" w:hAnsiTheme="minorHAnsi"/>
          <w:szCs w:val="22"/>
        </w:rPr>
      </w:pPr>
      <w:bookmarkStart w:id="5" w:name="_GoBack"/>
      <w:bookmarkEnd w:id="5"/>
    </w:p>
    <w:p w:rsidR="000B1290" w:rsidRPr="000B1290" w:rsidRDefault="000B1290" w:rsidP="000B1290">
      <w:pPr>
        <w:pStyle w:val="Textebrut"/>
        <w:pBdr>
          <w:left w:val="single" w:sz="4" w:space="4" w:color="auto"/>
        </w:pBdr>
        <w:jc w:val="both"/>
        <w:rPr>
          <w:i/>
        </w:rPr>
      </w:pPr>
      <w:r w:rsidRPr="000B1290">
        <w:rPr>
          <w:i/>
        </w:rPr>
        <w:t xml:space="preserve"> </w:t>
      </w:r>
      <w:hyperlink r:id="rId12" w:history="1">
        <w:r w:rsidRPr="000B1290">
          <w:rPr>
            <w:rStyle w:val="Lienhypertexte"/>
            <w:b/>
            <w:i/>
            <w:color w:val="auto"/>
          </w:rPr>
          <w:t>Arrêté du 23 juin 2026</w:t>
        </w:r>
        <w:r w:rsidRPr="000B1290">
          <w:rPr>
            <w:rStyle w:val="Lienhypertexte"/>
            <w:i/>
            <w:color w:val="auto"/>
          </w:rPr>
          <w:t xml:space="preserve"> relatif au titre professionnel de monteur en calorifuge industriel.</w:t>
        </w:r>
      </w:hyperlink>
    </w:p>
    <w:p w:rsidR="000B1290" w:rsidRDefault="000B1290" w:rsidP="000B1290">
      <w:pPr>
        <w:pStyle w:val="Textebrut"/>
      </w:pPr>
    </w:p>
    <w:p w:rsidR="00077DC6" w:rsidRDefault="00077DC6" w:rsidP="00077DC6">
      <w:pPr>
        <w:jc w:val="both"/>
      </w:pPr>
    </w:p>
    <w:p w:rsidR="000E6286" w:rsidRDefault="000E6286" w:rsidP="000E6286">
      <w:pPr>
        <w:jc w:val="both"/>
      </w:pPr>
    </w:p>
    <w:p w:rsidR="00EF29B5" w:rsidRPr="00EF29B5" w:rsidRDefault="00EF29B5" w:rsidP="00EF29B5">
      <w:pPr>
        <w:pStyle w:val="Titre1"/>
      </w:pPr>
      <w:bookmarkStart w:id="6" w:name="_Toc235192794"/>
      <w:r w:rsidRPr="00EF29B5">
        <w:t>Certificats d’économies d’énergie</w:t>
      </w:r>
      <w:bookmarkEnd w:id="6"/>
    </w:p>
    <w:p w:rsidR="00EF29B5" w:rsidRDefault="00EF29B5" w:rsidP="00EF29B5">
      <w:pPr>
        <w:jc w:val="both"/>
      </w:pPr>
    </w:p>
    <w:p w:rsidR="00590C5A" w:rsidRPr="00590C5A" w:rsidRDefault="00590C5A" w:rsidP="00590C5A">
      <w:pPr>
        <w:pBdr>
          <w:left w:val="single" w:sz="4" w:space="4" w:color="auto"/>
        </w:pBdr>
        <w:jc w:val="both"/>
        <w:rPr>
          <w:b/>
        </w:rPr>
      </w:pPr>
      <w:r w:rsidRPr="00590C5A">
        <w:rPr>
          <w:b/>
        </w:rPr>
        <w:sym w:font="Wingdings" w:char="F0E8"/>
      </w:r>
      <w:r>
        <w:rPr>
          <w:b/>
        </w:rPr>
        <w:t xml:space="preserve"> </w:t>
      </w:r>
      <w:r w:rsidRPr="00590C5A">
        <w:rPr>
          <w:b/>
        </w:rPr>
        <w:t>Création du programme PEPITE</w:t>
      </w:r>
    </w:p>
    <w:p w:rsidR="00590C5A" w:rsidRDefault="00590C5A" w:rsidP="00590C5A">
      <w:pPr>
        <w:pBdr>
          <w:left w:val="single" w:sz="4" w:space="4" w:color="auto"/>
        </w:pBdr>
        <w:jc w:val="both"/>
      </w:pPr>
    </w:p>
    <w:p w:rsidR="00590C5A" w:rsidRDefault="00590C5A" w:rsidP="00590C5A">
      <w:pPr>
        <w:pBdr>
          <w:left w:val="single" w:sz="4" w:space="4" w:color="auto"/>
        </w:pBdr>
        <w:jc w:val="both"/>
      </w:pPr>
      <w:r>
        <w:t>Le programme d’information du dispositif des certificats d’économies d’énergie (CEE), dénommé PEPITE, porté par l’Agence de gestion de l’immobilier de l’Etat (SA) ou par toute structure qui s’y substituera, ou une filiale dédiée de l’une de ces structures, a pour objet d’amplifier les démarches d’efficacité énergétique des bâtiments publics hors collectivités et secteur hospitalier.</w:t>
      </w:r>
    </w:p>
    <w:p w:rsidR="00590C5A" w:rsidRPr="00EF29B5" w:rsidRDefault="00590C5A" w:rsidP="00590C5A">
      <w:pPr>
        <w:pBdr>
          <w:left w:val="single" w:sz="4" w:space="4" w:color="auto"/>
        </w:pBdr>
        <w:jc w:val="both"/>
      </w:pPr>
    </w:p>
    <w:p w:rsidR="00590C5A" w:rsidRPr="00590C5A" w:rsidRDefault="00DC4DD5" w:rsidP="00590C5A">
      <w:pPr>
        <w:pStyle w:val="Textebrut"/>
        <w:pBdr>
          <w:left w:val="single" w:sz="4" w:space="4" w:color="auto"/>
        </w:pBdr>
        <w:jc w:val="both"/>
        <w:rPr>
          <w:i/>
        </w:rPr>
      </w:pPr>
      <w:hyperlink r:id="rId13" w:history="1">
        <w:r w:rsidR="00590C5A" w:rsidRPr="00590C5A">
          <w:rPr>
            <w:rStyle w:val="Lienhypertexte"/>
            <w:b/>
            <w:i/>
            <w:color w:val="auto"/>
          </w:rPr>
          <w:t xml:space="preserve">Arrêté du 29 mai 2026 </w:t>
        </w:r>
        <w:r w:rsidR="00590C5A" w:rsidRPr="00590C5A">
          <w:rPr>
            <w:rStyle w:val="Lienhypertexte"/>
            <w:i/>
            <w:color w:val="auto"/>
          </w:rPr>
          <w:t>portant création du programme PEPITE dans le cadre du dispositif des certificats d'économies d'énergie.</w:t>
        </w:r>
      </w:hyperlink>
    </w:p>
    <w:p w:rsidR="00590C5A" w:rsidRDefault="00590C5A" w:rsidP="00590C5A">
      <w:pPr>
        <w:pStyle w:val="Textebrut"/>
      </w:pPr>
    </w:p>
    <w:p w:rsidR="003E57A9" w:rsidRDefault="003E57A9" w:rsidP="00590C5A">
      <w:pPr>
        <w:pStyle w:val="Textebrut"/>
      </w:pPr>
    </w:p>
    <w:p w:rsidR="003E57A9" w:rsidRDefault="003E57A9" w:rsidP="00590C5A">
      <w:pPr>
        <w:pStyle w:val="Textebrut"/>
      </w:pPr>
    </w:p>
    <w:p w:rsidR="003E57A9" w:rsidRPr="003E57A9" w:rsidRDefault="003E57A9" w:rsidP="00E65C44">
      <w:pPr>
        <w:pStyle w:val="Textebrut"/>
        <w:pBdr>
          <w:left w:val="single" w:sz="4" w:space="4" w:color="auto"/>
        </w:pBdr>
        <w:jc w:val="both"/>
        <w:rPr>
          <w:b/>
        </w:rPr>
      </w:pPr>
      <w:r w:rsidRPr="003E57A9">
        <w:rPr>
          <w:b/>
        </w:rPr>
        <w:sym w:font="Wingdings" w:char="F0E8"/>
      </w:r>
      <w:r w:rsidRPr="003E57A9">
        <w:rPr>
          <w:b/>
        </w:rPr>
        <w:t xml:space="preserve"> Abrogation des fiches d’opérations standardisées AGRI-TH-117 « Système de déshumidification</w:t>
      </w:r>
      <w:r w:rsidR="00E65C44">
        <w:rPr>
          <w:b/>
        </w:rPr>
        <w:t xml:space="preserve"> </w:t>
      </w:r>
      <w:r w:rsidRPr="003E57A9">
        <w:rPr>
          <w:b/>
        </w:rPr>
        <w:t>thermodynamique fixe pour serres chauffées » et AGRI-TH-119 « Système de déshumidification avec air extérieur »</w:t>
      </w:r>
    </w:p>
    <w:p w:rsidR="00590C5A" w:rsidRDefault="00590C5A" w:rsidP="00E65C44">
      <w:pPr>
        <w:pStyle w:val="Textebrut"/>
        <w:pBdr>
          <w:left w:val="single" w:sz="4" w:space="4" w:color="auto"/>
        </w:pBdr>
      </w:pPr>
      <w:r>
        <w:t xml:space="preserve">      </w:t>
      </w:r>
    </w:p>
    <w:p w:rsidR="003E57A9" w:rsidRDefault="003E57A9" w:rsidP="00E65C44">
      <w:pPr>
        <w:pStyle w:val="Textebrut"/>
        <w:pBdr>
          <w:left w:val="single" w:sz="4" w:space="4" w:color="auto"/>
        </w:pBdr>
        <w:jc w:val="both"/>
      </w:pPr>
      <w:r>
        <w:t>Art. 1er. – Les fiches d’opérations standardisées AGRI-TH-117 et AGRI-TH-119 figurant en annexe 1 de l’arrêté du 22 décembre 2014 susvisé sont supprimées.</w:t>
      </w:r>
    </w:p>
    <w:p w:rsidR="003E57A9" w:rsidRDefault="003E57A9" w:rsidP="00E65C44">
      <w:pPr>
        <w:pStyle w:val="Textebrut"/>
        <w:pBdr>
          <w:left w:val="single" w:sz="4" w:space="4" w:color="auto"/>
        </w:pBdr>
        <w:jc w:val="both"/>
      </w:pPr>
    </w:p>
    <w:p w:rsidR="003E57A9" w:rsidRDefault="003E57A9" w:rsidP="00E65C44">
      <w:pPr>
        <w:pStyle w:val="Textebrut"/>
        <w:pBdr>
          <w:left w:val="single" w:sz="4" w:space="4" w:color="auto"/>
        </w:pBdr>
        <w:jc w:val="both"/>
      </w:pPr>
      <w:r>
        <w:t>Art. 2. – Les dispositions des fiches d’opérations standardisées AGRI-TH-117 « Système de déshumidification thermodynamique fixe pour serres chauffées » et AGRI-TH-119 « Système de déshumidification avec air extérieur », dans leurs différentes versions, s’appliquent aux opérations incluses dans une liste transmise dans un délai de 10 jours calendaires à compter de la date de publication du présent arrêté, par le demandeur de certificats au ministre chargé de l’énergie, suivant le modèle intitulé « Tableau de recensement des engagements AGRI-TH117 et AGRI-TH-119 » établi par la direction générale de l’énergie et du climat et mis à disposition sur le site internet du ministère.</w:t>
      </w:r>
    </w:p>
    <w:p w:rsidR="003E57A9" w:rsidRDefault="003E57A9" w:rsidP="00E65C44">
      <w:pPr>
        <w:pStyle w:val="Textebrut"/>
        <w:pBdr>
          <w:left w:val="single" w:sz="4" w:space="4" w:color="auto"/>
        </w:pBdr>
      </w:pPr>
    </w:p>
    <w:p w:rsidR="003E57A9" w:rsidRPr="003E57A9" w:rsidRDefault="00DC4DD5" w:rsidP="008259EA">
      <w:pPr>
        <w:pStyle w:val="Textebrut"/>
        <w:pBdr>
          <w:left w:val="single" w:sz="4" w:space="4" w:color="auto"/>
        </w:pBdr>
        <w:jc w:val="both"/>
        <w:rPr>
          <w:i/>
        </w:rPr>
      </w:pPr>
      <w:hyperlink r:id="rId14" w:history="1">
        <w:r w:rsidR="003E57A9" w:rsidRPr="003E57A9">
          <w:rPr>
            <w:rStyle w:val="Lienhypertexte"/>
            <w:b/>
            <w:i/>
            <w:color w:val="auto"/>
          </w:rPr>
          <w:t>Arrêté du 29 mai 2026</w:t>
        </w:r>
        <w:r w:rsidR="003E57A9" w:rsidRPr="003E57A9">
          <w:rPr>
            <w:rStyle w:val="Lienhypertexte"/>
            <w:i/>
            <w:color w:val="auto"/>
          </w:rPr>
          <w:t xml:space="preserve"> abrogeant les fiches d'opérations standardisées AGRI-TH-117 « Système de déshumidification thermodynamique fixe pour serres chauffées » et AGRI-TH-119 « Système de déshumidification avec air extérieur ».</w:t>
        </w:r>
      </w:hyperlink>
    </w:p>
    <w:p w:rsidR="003E57A9" w:rsidRDefault="003E57A9" w:rsidP="003E57A9">
      <w:pPr>
        <w:pStyle w:val="Textebrut"/>
      </w:pPr>
    </w:p>
    <w:p w:rsidR="00E64C22" w:rsidRDefault="00E64C22" w:rsidP="003E57A9">
      <w:pPr>
        <w:pStyle w:val="Textebrut"/>
      </w:pPr>
    </w:p>
    <w:p w:rsidR="00E64C22" w:rsidRDefault="00E64C22" w:rsidP="003E57A9">
      <w:pPr>
        <w:pStyle w:val="Textebrut"/>
      </w:pPr>
    </w:p>
    <w:p w:rsidR="00E64C22" w:rsidRPr="00E64C22" w:rsidRDefault="00E64C22" w:rsidP="00E64C22">
      <w:pPr>
        <w:pStyle w:val="Textebrut"/>
        <w:pBdr>
          <w:left w:val="single" w:sz="4" w:space="4" w:color="auto"/>
        </w:pBdr>
        <w:jc w:val="both"/>
        <w:rPr>
          <w:b/>
        </w:rPr>
      </w:pPr>
      <w:r>
        <w:sym w:font="Wingdings" w:char="F0E8"/>
      </w:r>
      <w:r>
        <w:t xml:space="preserve"> </w:t>
      </w:r>
      <w:r w:rsidRPr="00E64C22">
        <w:rPr>
          <w:b/>
        </w:rPr>
        <w:t>Abrogation des fiches d’opérations standardisées AGRI-EQ-108 « Stockage d’eau pour une serre</w:t>
      </w:r>
    </w:p>
    <w:p w:rsidR="00E64C22" w:rsidRPr="00E64C22" w:rsidRDefault="00E64C22" w:rsidP="00E64C22">
      <w:pPr>
        <w:pStyle w:val="Textebrut"/>
        <w:pBdr>
          <w:left w:val="single" w:sz="4" w:space="4" w:color="auto"/>
        </w:pBdr>
        <w:jc w:val="both"/>
        <w:rPr>
          <w:b/>
        </w:rPr>
      </w:pPr>
      <w:proofErr w:type="gramStart"/>
      <w:r w:rsidRPr="00E64C22">
        <w:rPr>
          <w:b/>
        </w:rPr>
        <w:t>bioclimatique</w:t>
      </w:r>
      <w:proofErr w:type="gramEnd"/>
      <w:r w:rsidRPr="00E64C22">
        <w:rPr>
          <w:b/>
        </w:rPr>
        <w:t xml:space="preserve"> » et AGRI-EQ-112 « Double paroi gonflable sur serres maraîchères ou horticoles »</w:t>
      </w:r>
    </w:p>
    <w:p w:rsidR="00E64C22" w:rsidRPr="00E64C22" w:rsidRDefault="00E64C22" w:rsidP="00E64C22">
      <w:pPr>
        <w:pStyle w:val="Textebrut"/>
        <w:pBdr>
          <w:left w:val="single" w:sz="4" w:space="4" w:color="auto"/>
        </w:pBdr>
        <w:jc w:val="both"/>
        <w:rPr>
          <w:b/>
        </w:rPr>
      </w:pPr>
    </w:p>
    <w:p w:rsidR="00E64C22" w:rsidRPr="00E64C22" w:rsidRDefault="00DC4DD5" w:rsidP="00E64C22">
      <w:pPr>
        <w:pStyle w:val="Textebrut"/>
        <w:pBdr>
          <w:left w:val="single" w:sz="4" w:space="4" w:color="auto"/>
        </w:pBdr>
        <w:jc w:val="both"/>
        <w:rPr>
          <w:i/>
          <w:color w:val="000000" w:themeColor="text1"/>
        </w:rPr>
      </w:pPr>
      <w:hyperlink r:id="rId15" w:history="1">
        <w:r w:rsidR="00E64C22" w:rsidRPr="00E64C22">
          <w:rPr>
            <w:rStyle w:val="Lienhypertexte"/>
            <w:b/>
            <w:i/>
            <w:color w:val="000000" w:themeColor="text1"/>
          </w:rPr>
          <w:t>Arrêté du 19 juin 2026</w:t>
        </w:r>
        <w:r w:rsidR="00E64C22" w:rsidRPr="00E64C22">
          <w:rPr>
            <w:rStyle w:val="Lienhypertexte"/>
            <w:i/>
            <w:color w:val="000000" w:themeColor="text1"/>
          </w:rPr>
          <w:t xml:space="preserve"> abrogeant les fiches d'opérations standardisées AGRI-EQ-108 « Stockage d'eau pour une serre bioclimatique » et AGRI-EQ-112 « Double paroi gonflable sur serres maraîchères ou horticoles ».</w:t>
        </w:r>
      </w:hyperlink>
    </w:p>
    <w:p w:rsidR="00E64C22" w:rsidRDefault="00E64C22" w:rsidP="00E64C22">
      <w:pPr>
        <w:pStyle w:val="Textebrut"/>
      </w:pPr>
    </w:p>
    <w:p w:rsidR="00E64C22" w:rsidRDefault="00E64C22" w:rsidP="00E64C22">
      <w:pPr>
        <w:pStyle w:val="Textebrut"/>
      </w:pPr>
    </w:p>
    <w:p w:rsidR="008259EA" w:rsidRDefault="008259EA" w:rsidP="00E64C22">
      <w:pPr>
        <w:pStyle w:val="Textebrut"/>
      </w:pPr>
    </w:p>
    <w:p w:rsidR="00E64C22" w:rsidRPr="00694831" w:rsidRDefault="00694831" w:rsidP="00694831">
      <w:pPr>
        <w:pStyle w:val="Textebrut"/>
        <w:pBdr>
          <w:left w:val="single" w:sz="4" w:space="4" w:color="auto"/>
        </w:pBdr>
        <w:jc w:val="both"/>
        <w:rPr>
          <w:b/>
        </w:rPr>
      </w:pPr>
      <w:r w:rsidRPr="00694831">
        <w:rPr>
          <w:b/>
        </w:rPr>
        <w:sym w:font="Wingdings" w:char="F0E8"/>
      </w:r>
      <w:r w:rsidRPr="00694831">
        <w:rPr>
          <w:b/>
        </w:rPr>
        <w:t xml:space="preserve"> Décision de sanction dans le cadre du dispositif des certificats d’économies d’énergie</w:t>
      </w:r>
      <w:r>
        <w:rPr>
          <w:b/>
        </w:rPr>
        <w:t xml:space="preserve"> prononcée </w:t>
      </w:r>
      <w:r w:rsidRPr="00694831">
        <w:rPr>
          <w:b/>
        </w:rPr>
        <w:t>à</w:t>
      </w:r>
      <w:r>
        <w:rPr>
          <w:b/>
        </w:rPr>
        <w:t xml:space="preserve"> </w:t>
      </w:r>
      <w:r w:rsidRPr="00694831">
        <w:rPr>
          <w:b/>
        </w:rPr>
        <w:t>l’encontre de la société VARO ENERGY FRANCE SAS</w:t>
      </w:r>
    </w:p>
    <w:p w:rsidR="00694831" w:rsidRDefault="00694831" w:rsidP="00694831">
      <w:pPr>
        <w:pStyle w:val="Textebrut"/>
        <w:pBdr>
          <w:left w:val="single" w:sz="4" w:space="4" w:color="auto"/>
        </w:pBdr>
        <w:jc w:val="both"/>
      </w:pPr>
    </w:p>
    <w:p w:rsidR="00E64C22" w:rsidRPr="00963105" w:rsidRDefault="00963105" w:rsidP="00694831">
      <w:pPr>
        <w:pStyle w:val="Textebrut"/>
        <w:pBdr>
          <w:left w:val="single" w:sz="4" w:space="4" w:color="auto"/>
        </w:pBdr>
        <w:jc w:val="both"/>
        <w:rPr>
          <w:i/>
        </w:rPr>
      </w:pPr>
      <w:hyperlink r:id="rId16" w:history="1">
        <w:r w:rsidR="00E64C22" w:rsidRPr="00963105">
          <w:rPr>
            <w:rStyle w:val="Lienhypertexte"/>
            <w:b/>
            <w:i/>
            <w:color w:val="auto"/>
          </w:rPr>
          <w:t>Décision du 9 décembre 2025</w:t>
        </w:r>
        <w:r w:rsidR="00E64C22" w:rsidRPr="00963105">
          <w:rPr>
            <w:rStyle w:val="Lienhypertexte"/>
            <w:i/>
            <w:color w:val="auto"/>
          </w:rPr>
          <w:t xml:space="preserve"> portant sanction dans le cadre du dispositif des certificats d'économies d'énergie</w:t>
        </w:r>
        <w:r w:rsidR="00694831" w:rsidRPr="00963105">
          <w:rPr>
            <w:rStyle w:val="Lienhypertexte"/>
            <w:i/>
            <w:color w:val="auto"/>
          </w:rPr>
          <w:t>.</w:t>
        </w:r>
      </w:hyperlink>
    </w:p>
    <w:p w:rsidR="00694831" w:rsidRDefault="00694831" w:rsidP="00E64C22">
      <w:pPr>
        <w:pStyle w:val="Textebrut"/>
      </w:pPr>
    </w:p>
    <w:p w:rsidR="00E64C22" w:rsidRDefault="00E64C22" w:rsidP="00E64C22">
      <w:pPr>
        <w:pStyle w:val="Textebrut"/>
      </w:pPr>
    </w:p>
    <w:p w:rsidR="006A7873" w:rsidRDefault="006A7873" w:rsidP="00E64C22">
      <w:pPr>
        <w:pStyle w:val="Textebrut"/>
      </w:pPr>
    </w:p>
    <w:p w:rsidR="00694831" w:rsidRPr="00AE4C4A" w:rsidRDefault="00694831" w:rsidP="00AE4C4A">
      <w:pPr>
        <w:pStyle w:val="Textebrut"/>
        <w:pBdr>
          <w:left w:val="single" w:sz="4" w:space="4" w:color="auto"/>
        </w:pBdr>
        <w:jc w:val="both"/>
        <w:rPr>
          <w:b/>
        </w:rPr>
      </w:pPr>
      <w:r w:rsidRPr="00AE4C4A">
        <w:rPr>
          <w:b/>
        </w:rPr>
        <w:sym w:font="Wingdings" w:char="F0E8"/>
      </w:r>
      <w:r w:rsidRPr="00AE4C4A">
        <w:rPr>
          <w:b/>
        </w:rPr>
        <w:t xml:space="preserve"> </w:t>
      </w:r>
      <w:r w:rsidR="00AE4C4A" w:rsidRPr="00AE4C4A">
        <w:rPr>
          <w:b/>
        </w:rPr>
        <w:t>Décision de sanction dans le cadre du dispositif des certificats d’économies d’énergie prononcée à</w:t>
      </w:r>
      <w:r w:rsidRPr="00AE4C4A">
        <w:rPr>
          <w:b/>
        </w:rPr>
        <w:t xml:space="preserve"> l’encontre de la société OFEE</w:t>
      </w:r>
    </w:p>
    <w:p w:rsidR="00E64C22" w:rsidRDefault="00E64C22" w:rsidP="00AE4C4A">
      <w:pPr>
        <w:pStyle w:val="Textebrut"/>
        <w:pBdr>
          <w:left w:val="single" w:sz="4" w:space="4" w:color="auto"/>
        </w:pBdr>
      </w:pPr>
    </w:p>
    <w:p w:rsidR="00E64C22" w:rsidRPr="00AE4C4A" w:rsidRDefault="00DC4DD5" w:rsidP="00AE4C4A">
      <w:pPr>
        <w:pStyle w:val="Textebrut"/>
        <w:pBdr>
          <w:left w:val="single" w:sz="4" w:space="4" w:color="auto"/>
        </w:pBdr>
        <w:jc w:val="both"/>
        <w:rPr>
          <w:i/>
          <w:color w:val="000000" w:themeColor="text1"/>
        </w:rPr>
      </w:pPr>
      <w:hyperlink r:id="rId17" w:history="1">
        <w:r w:rsidR="00E64C22" w:rsidRPr="00AE4C4A">
          <w:rPr>
            <w:rStyle w:val="Lienhypertexte"/>
            <w:b/>
            <w:i/>
            <w:color w:val="000000" w:themeColor="text1"/>
          </w:rPr>
          <w:t xml:space="preserve">Décision du 2 janvier 2026 </w:t>
        </w:r>
        <w:r w:rsidR="00E64C22" w:rsidRPr="00AE4C4A">
          <w:rPr>
            <w:rStyle w:val="Lienhypertexte"/>
            <w:i/>
            <w:color w:val="000000" w:themeColor="text1"/>
          </w:rPr>
          <w:t>portant sanction dans le cadre du dispositif des certificats d'économies d'énergie</w:t>
        </w:r>
        <w:r w:rsidR="00694831" w:rsidRPr="00AE4C4A">
          <w:rPr>
            <w:rStyle w:val="Lienhypertexte"/>
            <w:i/>
            <w:color w:val="000000" w:themeColor="text1"/>
          </w:rPr>
          <w:t>.</w:t>
        </w:r>
      </w:hyperlink>
    </w:p>
    <w:p w:rsidR="00E64C22" w:rsidRDefault="00E64C22" w:rsidP="00E64C22">
      <w:pPr>
        <w:pStyle w:val="Textebrut"/>
      </w:pPr>
    </w:p>
    <w:p w:rsidR="003A25DE" w:rsidRDefault="003A25DE" w:rsidP="00E64C22">
      <w:pPr>
        <w:pStyle w:val="Textebrut"/>
      </w:pPr>
    </w:p>
    <w:p w:rsidR="003A25DE" w:rsidRDefault="003A25DE" w:rsidP="00E64C22">
      <w:pPr>
        <w:pStyle w:val="Textebrut"/>
      </w:pPr>
    </w:p>
    <w:p w:rsidR="003A25DE" w:rsidRPr="00AE4C4A" w:rsidRDefault="003A25DE" w:rsidP="003C0047">
      <w:pPr>
        <w:pStyle w:val="Textebrut"/>
        <w:pBdr>
          <w:left w:val="single" w:sz="4" w:space="4" w:color="auto"/>
        </w:pBdr>
        <w:jc w:val="both"/>
        <w:rPr>
          <w:b/>
        </w:rPr>
      </w:pPr>
      <w:r w:rsidRPr="00AE4C4A">
        <w:rPr>
          <w:b/>
        </w:rPr>
        <w:sym w:font="Wingdings" w:char="F0E8"/>
      </w:r>
      <w:r w:rsidRPr="00AE4C4A">
        <w:rPr>
          <w:b/>
        </w:rPr>
        <w:t xml:space="preserve"> Décision de sanction dans le cadre du dispositif des certificats d’économies d’énergie prononcée à l’encontre de la société </w:t>
      </w:r>
      <w:r w:rsidRPr="003A25DE">
        <w:rPr>
          <w:b/>
        </w:rPr>
        <w:t>TOTALENERGIES ELECTRICITE ET GAZ FRANCE</w:t>
      </w:r>
    </w:p>
    <w:p w:rsidR="00E64C22" w:rsidRDefault="00E64C22" w:rsidP="003C0047">
      <w:pPr>
        <w:pStyle w:val="Textebrut"/>
        <w:pBdr>
          <w:left w:val="single" w:sz="4" w:space="4" w:color="auto"/>
        </w:pBdr>
      </w:pPr>
    </w:p>
    <w:p w:rsidR="00E64C22" w:rsidRPr="003A25DE" w:rsidRDefault="00DC4DD5" w:rsidP="003C0047">
      <w:pPr>
        <w:pStyle w:val="Textebrut"/>
        <w:pBdr>
          <w:left w:val="single" w:sz="4" w:space="4" w:color="auto"/>
        </w:pBdr>
        <w:jc w:val="both"/>
        <w:rPr>
          <w:i/>
          <w:color w:val="000000" w:themeColor="text1"/>
        </w:rPr>
      </w:pPr>
      <w:hyperlink r:id="rId18" w:history="1">
        <w:r w:rsidR="00E64C22" w:rsidRPr="003A25DE">
          <w:rPr>
            <w:rStyle w:val="Lienhypertexte"/>
            <w:b/>
            <w:i/>
            <w:color w:val="000000" w:themeColor="text1"/>
          </w:rPr>
          <w:t>Décision du 23 janvier</w:t>
        </w:r>
        <w:r w:rsidR="00E64C22" w:rsidRPr="003A25DE">
          <w:rPr>
            <w:rStyle w:val="Lienhypertexte"/>
            <w:i/>
            <w:color w:val="000000" w:themeColor="text1"/>
          </w:rPr>
          <w:t xml:space="preserve"> 2026 portant sanction dans le cadre du dispositif des certificats d'économies d'énergie</w:t>
        </w:r>
        <w:r w:rsidR="003A25DE" w:rsidRPr="003A25DE">
          <w:rPr>
            <w:rStyle w:val="Lienhypertexte"/>
            <w:i/>
            <w:color w:val="000000" w:themeColor="text1"/>
          </w:rPr>
          <w:t>.</w:t>
        </w:r>
      </w:hyperlink>
    </w:p>
    <w:p w:rsidR="003A25DE" w:rsidRDefault="003A25DE" w:rsidP="00E64C22">
      <w:pPr>
        <w:pStyle w:val="Textebrut"/>
      </w:pPr>
    </w:p>
    <w:p w:rsidR="003A6F29" w:rsidRDefault="003A6F29" w:rsidP="00E64C22">
      <w:pPr>
        <w:pStyle w:val="Textebrut"/>
      </w:pPr>
    </w:p>
    <w:p w:rsidR="006A7873" w:rsidRDefault="006A7873" w:rsidP="00E64C22">
      <w:pPr>
        <w:pStyle w:val="Textebrut"/>
      </w:pPr>
    </w:p>
    <w:p w:rsidR="003A6F29" w:rsidRPr="003A6F29" w:rsidRDefault="003A6F29" w:rsidP="003A6F29">
      <w:pPr>
        <w:pStyle w:val="Textebrut"/>
        <w:pBdr>
          <w:left w:val="single" w:sz="4" w:space="4" w:color="auto"/>
        </w:pBdr>
        <w:jc w:val="both"/>
        <w:rPr>
          <w:b/>
        </w:rPr>
      </w:pPr>
      <w:r w:rsidRPr="003A6F29">
        <w:rPr>
          <w:b/>
        </w:rPr>
        <w:sym w:font="Wingdings" w:char="F0E8"/>
      </w:r>
      <w:r w:rsidRPr="003A6F29">
        <w:rPr>
          <w:b/>
        </w:rPr>
        <w:t xml:space="preserve"> F</w:t>
      </w:r>
      <w:r w:rsidRPr="003A6F29">
        <w:rPr>
          <w:b/>
        </w:rPr>
        <w:t>ixation des modalités d’ouverture de compte sur le registre national des certificats d’économies</w:t>
      </w:r>
      <w:r>
        <w:rPr>
          <w:b/>
        </w:rPr>
        <w:t xml:space="preserve"> </w:t>
      </w:r>
      <w:r w:rsidRPr="003A6F29">
        <w:rPr>
          <w:b/>
        </w:rPr>
        <w:t>d’énergie pour les personnes autres que celles mentionnées aux 1</w:t>
      </w:r>
      <w:r w:rsidRPr="003A6F29">
        <w:rPr>
          <w:b/>
        </w:rPr>
        <w:t>°</w:t>
      </w:r>
      <w:r w:rsidRPr="003A6F29">
        <w:rPr>
          <w:b/>
        </w:rPr>
        <w:t>à 6</w:t>
      </w:r>
      <w:r w:rsidRPr="003A6F29">
        <w:rPr>
          <w:b/>
        </w:rPr>
        <w:t>°</w:t>
      </w:r>
      <w:r w:rsidRPr="003A6F29">
        <w:rPr>
          <w:b/>
        </w:rPr>
        <w:t xml:space="preserve"> de l’article L. 221-7 du code de l’énergie</w:t>
      </w:r>
    </w:p>
    <w:p w:rsidR="003A6F29" w:rsidRDefault="003A6F29" w:rsidP="003A6F29">
      <w:pPr>
        <w:pStyle w:val="Textebrut"/>
        <w:pBdr>
          <w:left w:val="single" w:sz="4" w:space="4" w:color="auto"/>
        </w:pBdr>
      </w:pPr>
    </w:p>
    <w:p w:rsidR="003A6F29" w:rsidRPr="003A6F29" w:rsidRDefault="003A6F29" w:rsidP="003A6F29">
      <w:pPr>
        <w:pStyle w:val="Textebrut"/>
        <w:pBdr>
          <w:left w:val="single" w:sz="4" w:space="4" w:color="auto"/>
        </w:pBdr>
        <w:jc w:val="both"/>
        <w:rPr>
          <w:i/>
        </w:rPr>
      </w:pPr>
      <w:hyperlink r:id="rId19" w:history="1">
        <w:r w:rsidRPr="003A6F29">
          <w:rPr>
            <w:rStyle w:val="Lienhypertexte"/>
            <w:b/>
            <w:i/>
            <w:color w:val="auto"/>
          </w:rPr>
          <w:t>Décret n° 2026-560 du 26 juin 2026</w:t>
        </w:r>
        <w:r w:rsidRPr="003A6F29">
          <w:rPr>
            <w:rStyle w:val="Lienhypertexte"/>
            <w:i/>
            <w:color w:val="auto"/>
          </w:rPr>
          <w:t xml:space="preserve"> relatif à la gestion des comptes dans le registre national des certificats d'économies d'énergie.</w:t>
        </w:r>
      </w:hyperlink>
    </w:p>
    <w:p w:rsidR="003A6F29" w:rsidRDefault="003A6F29" w:rsidP="003A6F29">
      <w:pPr>
        <w:pStyle w:val="Textebrut"/>
      </w:pPr>
    </w:p>
    <w:p w:rsidR="003A6F29" w:rsidRDefault="003A6F29" w:rsidP="003A6F29">
      <w:pPr>
        <w:pStyle w:val="Textebrut"/>
      </w:pPr>
    </w:p>
    <w:p w:rsidR="00615956" w:rsidRDefault="00615956" w:rsidP="00A14DB6">
      <w:pPr>
        <w:pStyle w:val="Textebrut"/>
      </w:pPr>
    </w:p>
    <w:p w:rsidR="00D677F9" w:rsidRDefault="00D677F9" w:rsidP="00D677F9">
      <w:pPr>
        <w:pStyle w:val="Titre1"/>
      </w:pPr>
      <w:bookmarkStart w:id="7" w:name="_Toc235192795"/>
      <w:r>
        <w:t>Commission de régulation de l’énergie</w:t>
      </w:r>
      <w:bookmarkEnd w:id="7"/>
    </w:p>
    <w:p w:rsidR="00D677F9" w:rsidRDefault="00D677F9" w:rsidP="00D677F9"/>
    <w:p w:rsidR="00D677F9" w:rsidRPr="00F07775" w:rsidRDefault="00D677F9" w:rsidP="00D677F9">
      <w:pPr>
        <w:pBdr>
          <w:left w:val="single" w:sz="4" w:space="4" w:color="auto"/>
        </w:pBdr>
        <w:jc w:val="both"/>
        <w:rPr>
          <w:b/>
        </w:rPr>
      </w:pPr>
      <w:r w:rsidRPr="00F07775">
        <w:rPr>
          <w:b/>
        </w:rPr>
        <w:sym w:font="Wingdings" w:char="F0E8"/>
      </w:r>
      <w:r w:rsidRPr="00F07775">
        <w:rPr>
          <w:b/>
        </w:rPr>
        <w:t xml:space="preserve"> Contenus et tarifs des prestations annexes réalisées à titre exclusif par le gestionnaire du réseau public de transport d’électricité</w:t>
      </w:r>
    </w:p>
    <w:p w:rsidR="00D677F9" w:rsidRDefault="00D677F9" w:rsidP="00D677F9">
      <w:pPr>
        <w:pBdr>
          <w:left w:val="single" w:sz="4" w:space="4" w:color="auto"/>
        </w:pBdr>
        <w:jc w:val="both"/>
      </w:pPr>
    </w:p>
    <w:p w:rsidR="00D677F9" w:rsidRPr="00F07775" w:rsidRDefault="00DC4DD5" w:rsidP="00D677F9">
      <w:pPr>
        <w:pStyle w:val="Textebrut"/>
        <w:pBdr>
          <w:left w:val="single" w:sz="4" w:space="4" w:color="auto"/>
        </w:pBdr>
        <w:jc w:val="both"/>
        <w:rPr>
          <w:i/>
        </w:rPr>
      </w:pPr>
      <w:hyperlink r:id="rId20" w:history="1">
        <w:r w:rsidR="00D677F9" w:rsidRPr="00F07775">
          <w:rPr>
            <w:rStyle w:val="Lienhypertexte"/>
            <w:b/>
            <w:i/>
            <w:color w:val="auto"/>
          </w:rPr>
          <w:t xml:space="preserve">Délibération n° 2026-102 du 13 mai 2026 </w:t>
        </w:r>
        <w:r w:rsidR="00D677F9" w:rsidRPr="00F07775">
          <w:rPr>
            <w:rStyle w:val="Lienhypertexte"/>
            <w:i/>
            <w:color w:val="auto"/>
          </w:rPr>
          <w:t>portant décision relative à la tarification des prestations annexes réalisées à titre exclusif par le gestionnaire du réseau public de transport d'électricité.</w:t>
        </w:r>
      </w:hyperlink>
    </w:p>
    <w:p w:rsidR="00D677F9" w:rsidRDefault="00D677F9" w:rsidP="00D677F9">
      <w:pPr>
        <w:pStyle w:val="Textebrut"/>
      </w:pPr>
    </w:p>
    <w:p w:rsidR="00D677F9" w:rsidRDefault="00D677F9" w:rsidP="00D677F9">
      <w:pPr>
        <w:pStyle w:val="Textebrut"/>
      </w:pPr>
    </w:p>
    <w:p w:rsidR="00D677F9" w:rsidRDefault="00D677F9" w:rsidP="00D677F9">
      <w:pPr>
        <w:pStyle w:val="Textebrut"/>
      </w:pPr>
    </w:p>
    <w:p w:rsidR="00D677F9" w:rsidRPr="00A3076B" w:rsidRDefault="00D677F9" w:rsidP="00D677F9">
      <w:pPr>
        <w:pStyle w:val="Textebrut"/>
        <w:pBdr>
          <w:left w:val="single" w:sz="4" w:space="4" w:color="auto"/>
        </w:pBdr>
        <w:rPr>
          <w:b/>
        </w:rPr>
      </w:pPr>
      <w:r w:rsidRPr="00A3076B">
        <w:rPr>
          <w:b/>
        </w:rPr>
        <w:sym w:font="Wingdings" w:char="F0E8"/>
      </w:r>
      <w:r w:rsidRPr="00A3076B">
        <w:rPr>
          <w:b/>
        </w:rPr>
        <w:t xml:space="preserve"> Tarif non péréqué d’utilisation du réseau public de distribution de gaz naturel</w:t>
      </w:r>
    </w:p>
    <w:p w:rsidR="00D677F9" w:rsidRPr="00A3076B" w:rsidRDefault="00D677F9" w:rsidP="00D677F9">
      <w:pPr>
        <w:pStyle w:val="Textebrut"/>
        <w:pBdr>
          <w:left w:val="single" w:sz="4" w:space="4" w:color="auto"/>
        </w:pBdr>
        <w:rPr>
          <w:i/>
        </w:rPr>
      </w:pPr>
    </w:p>
    <w:p w:rsidR="00D677F9" w:rsidRPr="00A3076B" w:rsidRDefault="00DC4DD5" w:rsidP="00F64FD4">
      <w:pPr>
        <w:pStyle w:val="Textebrut"/>
        <w:pBdr>
          <w:left w:val="single" w:sz="4" w:space="4" w:color="auto"/>
        </w:pBdr>
        <w:jc w:val="both"/>
        <w:rPr>
          <w:i/>
        </w:rPr>
      </w:pPr>
      <w:hyperlink r:id="rId21" w:history="1">
        <w:r w:rsidR="00D677F9" w:rsidRPr="00A3076B">
          <w:rPr>
            <w:rStyle w:val="Lienhypertexte"/>
            <w:b/>
            <w:i/>
            <w:color w:val="auto"/>
          </w:rPr>
          <w:t>Délibération n° 2026-107 du 26 mai 2026</w:t>
        </w:r>
        <w:r w:rsidR="00D677F9" w:rsidRPr="00A3076B">
          <w:rPr>
            <w:rStyle w:val="Lienhypertexte"/>
            <w:i/>
            <w:color w:val="auto"/>
          </w:rPr>
          <w:t xml:space="preserve"> portant décision sur trois tarifs non péréqués d'utilisation des réseaux publics de distribution de gaz naturel concédés à GRDF.</w:t>
        </w:r>
      </w:hyperlink>
    </w:p>
    <w:p w:rsidR="00D677F9" w:rsidRDefault="00D677F9" w:rsidP="00D677F9">
      <w:pPr>
        <w:pStyle w:val="Textebrut"/>
      </w:pPr>
    </w:p>
    <w:p w:rsidR="00D677F9" w:rsidRDefault="00D677F9" w:rsidP="00D677F9"/>
    <w:p w:rsidR="00A14DB6" w:rsidRDefault="00A14DB6" w:rsidP="004668E0"/>
    <w:p w:rsidR="002034DB" w:rsidRDefault="009F5BE6" w:rsidP="009F5BE6">
      <w:pPr>
        <w:pStyle w:val="Titre1"/>
      </w:pPr>
      <w:bookmarkStart w:id="8" w:name="_Toc235192796"/>
      <w:r>
        <w:t>Flexibilité électrique</w:t>
      </w:r>
      <w:bookmarkEnd w:id="8"/>
    </w:p>
    <w:p w:rsidR="009F5BE6" w:rsidRDefault="009F5BE6" w:rsidP="009F5BE6"/>
    <w:p w:rsidR="009F5BE6" w:rsidRPr="008B6217" w:rsidRDefault="009F5BE6" w:rsidP="008B6217">
      <w:pPr>
        <w:pBdr>
          <w:left w:val="single" w:sz="4" w:space="4" w:color="auto"/>
        </w:pBdr>
        <w:jc w:val="both"/>
        <w:rPr>
          <w:b/>
        </w:rPr>
      </w:pPr>
      <w:r w:rsidRPr="008B6217">
        <w:rPr>
          <w:b/>
        </w:rPr>
        <w:sym w:font="Wingdings" w:char="F0E8"/>
      </w:r>
      <w:r w:rsidRPr="008B6217">
        <w:rPr>
          <w:b/>
        </w:rPr>
        <w:t xml:space="preserve"> </w:t>
      </w:r>
      <w:r w:rsidR="008B6217" w:rsidRPr="008B6217">
        <w:rPr>
          <w:b/>
        </w:rPr>
        <w:t>Elaboration et approbation d</w:t>
      </w:r>
      <w:r w:rsidRPr="008B6217">
        <w:rPr>
          <w:b/>
        </w:rPr>
        <w:t xml:space="preserve">es règles pour la fourniture de services de flexibilité </w:t>
      </w:r>
      <w:r w:rsidR="008B6217">
        <w:rPr>
          <w:b/>
        </w:rPr>
        <w:t xml:space="preserve">électrique </w:t>
      </w:r>
      <w:r w:rsidRPr="008B6217">
        <w:rPr>
          <w:b/>
        </w:rPr>
        <w:t>et de services auxiliaires</w:t>
      </w:r>
    </w:p>
    <w:p w:rsidR="009F5BE6" w:rsidRDefault="009F5BE6" w:rsidP="008B6217">
      <w:pPr>
        <w:pBdr>
          <w:left w:val="single" w:sz="4" w:space="4" w:color="auto"/>
        </w:pBdr>
      </w:pPr>
    </w:p>
    <w:p w:rsidR="009F5BE6" w:rsidRDefault="009F5BE6" w:rsidP="008B6217">
      <w:pPr>
        <w:pBdr>
          <w:left w:val="single" w:sz="4" w:space="4" w:color="auto"/>
        </w:pBdr>
        <w:jc w:val="both"/>
      </w:pPr>
      <w:r>
        <w:t>Le décret décrit les modalités d’application des dispositions législatives portées à l’article L. 322-9 pour la transposition de la directive (UE) 2019/944 du Parlement européen et du Conseil du 5 juin 2019 concernant des règles communes pour le marché intérieur de l’électricité. Il précise les conditions dans lesquelles sont élaborées et approuvées les règles pour la fourniture de services de flexibilité et de services auxiliaires.</w:t>
      </w:r>
    </w:p>
    <w:p w:rsidR="009F5BE6" w:rsidRDefault="009F5BE6" w:rsidP="008B6217">
      <w:pPr>
        <w:pBdr>
          <w:left w:val="single" w:sz="4" w:space="4" w:color="auto"/>
        </w:pBdr>
      </w:pPr>
    </w:p>
    <w:p w:rsidR="009F5BE6" w:rsidRPr="009F5BE6" w:rsidRDefault="00DC4DD5" w:rsidP="008B6217">
      <w:pPr>
        <w:pStyle w:val="Textebrut"/>
        <w:pBdr>
          <w:left w:val="single" w:sz="4" w:space="4" w:color="auto"/>
        </w:pBdr>
        <w:jc w:val="both"/>
        <w:rPr>
          <w:i/>
          <w:color w:val="000000" w:themeColor="text1"/>
        </w:rPr>
      </w:pPr>
      <w:hyperlink r:id="rId22" w:history="1">
        <w:r w:rsidR="009F5BE6" w:rsidRPr="009F5BE6">
          <w:rPr>
            <w:rStyle w:val="Lienhypertexte"/>
            <w:b/>
            <w:i/>
            <w:color w:val="000000" w:themeColor="text1"/>
          </w:rPr>
          <w:t>Décret n° 2026-475 du 10 juin 2026</w:t>
        </w:r>
        <w:r w:rsidR="009F5BE6" w:rsidRPr="009F5BE6">
          <w:rPr>
            <w:rStyle w:val="Lienhypertexte"/>
            <w:i/>
            <w:color w:val="000000" w:themeColor="text1"/>
          </w:rPr>
          <w:t xml:space="preserve"> relatif aux obligations des gestionnaires du réseau public de distribution et de transport d'électricité en matière de flexibilités.</w:t>
        </w:r>
      </w:hyperlink>
    </w:p>
    <w:p w:rsidR="009F5BE6" w:rsidRDefault="009F5BE6" w:rsidP="009F5BE6">
      <w:pPr>
        <w:pStyle w:val="Textebrut"/>
      </w:pPr>
    </w:p>
    <w:p w:rsidR="009F5BE6" w:rsidRDefault="009F5BE6" w:rsidP="009F5BE6"/>
    <w:p w:rsidR="009F5BE6" w:rsidRPr="009F5BE6" w:rsidRDefault="009F5BE6" w:rsidP="009F5BE6"/>
    <w:p w:rsidR="002034DB" w:rsidRDefault="002034DB" w:rsidP="002034DB">
      <w:pPr>
        <w:pStyle w:val="Titre1"/>
      </w:pPr>
      <w:bookmarkStart w:id="9" w:name="_Toc235192797"/>
      <w:r>
        <w:t>France 2030</w:t>
      </w:r>
      <w:bookmarkEnd w:id="9"/>
    </w:p>
    <w:p w:rsidR="002034DB" w:rsidRDefault="002034DB" w:rsidP="002034DB"/>
    <w:p w:rsidR="002034DB" w:rsidRPr="008E1A3B" w:rsidRDefault="002034DB" w:rsidP="002034DB">
      <w:pPr>
        <w:pBdr>
          <w:left w:val="single" w:sz="4" w:space="4" w:color="auto"/>
        </w:pBdr>
        <w:jc w:val="both"/>
        <w:rPr>
          <w:b/>
        </w:rPr>
      </w:pPr>
      <w:r w:rsidRPr="008E1A3B">
        <w:rPr>
          <w:b/>
        </w:rPr>
        <w:sym w:font="Wingdings" w:char="F0E8"/>
      </w:r>
      <w:r w:rsidRPr="008E1A3B">
        <w:rPr>
          <w:b/>
        </w:rPr>
        <w:t xml:space="preserve"> Approbation du cahier des charges de l’appel à projet </w:t>
      </w:r>
      <w:proofErr w:type="gramStart"/>
      <w:r w:rsidRPr="008E1A3B">
        <w:rPr>
          <w:b/>
        </w:rPr>
        <w:t xml:space="preserve">«  </w:t>
      </w:r>
      <w:proofErr w:type="spellStart"/>
      <w:r w:rsidRPr="008E1A3B">
        <w:rPr>
          <w:b/>
        </w:rPr>
        <w:t>AGIBaC</w:t>
      </w:r>
      <w:proofErr w:type="spellEnd"/>
      <w:proofErr w:type="gramEnd"/>
      <w:r w:rsidRPr="008E1A3B">
        <w:rPr>
          <w:b/>
        </w:rPr>
        <w:t> »</w:t>
      </w:r>
    </w:p>
    <w:p w:rsidR="002034DB" w:rsidRDefault="002034DB" w:rsidP="002034DB">
      <w:pPr>
        <w:pBdr>
          <w:left w:val="single" w:sz="4" w:space="4" w:color="auto"/>
        </w:pBdr>
        <w:jc w:val="both"/>
      </w:pPr>
    </w:p>
    <w:p w:rsidR="002034DB" w:rsidRDefault="002034DB" w:rsidP="002034DB">
      <w:pPr>
        <w:pBdr>
          <w:left w:val="single" w:sz="4" w:space="4" w:color="auto"/>
        </w:pBdr>
        <w:jc w:val="both"/>
      </w:pPr>
      <w:r>
        <w:t xml:space="preserve">Le cahier des charges de l’appel à projet « </w:t>
      </w:r>
      <w:proofErr w:type="spellStart"/>
      <w:r>
        <w:t>AGIBaC</w:t>
      </w:r>
      <w:proofErr w:type="spellEnd"/>
      <w:r>
        <w:t xml:space="preserve"> » du plan France 2030, relatif à l’action « Démonstration en conditions réelles, amorçage et premières commerciales », est approuvé.</w:t>
      </w:r>
    </w:p>
    <w:p w:rsidR="002034DB" w:rsidRDefault="002034DB" w:rsidP="002034DB">
      <w:pPr>
        <w:pBdr>
          <w:left w:val="single" w:sz="4" w:space="4" w:color="auto"/>
        </w:pBdr>
        <w:jc w:val="both"/>
      </w:pPr>
    </w:p>
    <w:p w:rsidR="002034DB" w:rsidRDefault="002034DB" w:rsidP="002034DB">
      <w:pPr>
        <w:pBdr>
          <w:left w:val="single" w:sz="4" w:space="4" w:color="auto"/>
        </w:pBdr>
        <w:jc w:val="both"/>
      </w:pPr>
      <w:r>
        <w:t>L</w:t>
      </w:r>
      <w:r w:rsidRPr="00B43FE4">
        <w:t>e dispositif "Acquisition de données et connaissances Géologiques vers des Industries Bas Carbone" (</w:t>
      </w:r>
      <w:proofErr w:type="spellStart"/>
      <w:r w:rsidRPr="00B43FE4">
        <w:t>AGIBaC</w:t>
      </w:r>
      <w:proofErr w:type="spellEnd"/>
      <w:r w:rsidRPr="00B43FE4">
        <w:t>) a pour objectif d’acquérir des données pour améliorer les connaissances sur le sous-sol (à terre–onshore, et en mer–offshore) et tester des procédés innovants de stockage géologique de CO₂, via le financement d’études, d’analyses ou de projets pilotes.</w:t>
      </w:r>
    </w:p>
    <w:p w:rsidR="002034DB" w:rsidRDefault="002034DB" w:rsidP="002034DB">
      <w:pPr>
        <w:pBdr>
          <w:left w:val="single" w:sz="4" w:space="4" w:color="auto"/>
        </w:pBdr>
        <w:jc w:val="both"/>
      </w:pPr>
    </w:p>
    <w:p w:rsidR="002034DB" w:rsidRPr="008E1A3B" w:rsidRDefault="00DC4DD5" w:rsidP="002034DB">
      <w:pPr>
        <w:pBdr>
          <w:left w:val="single" w:sz="4" w:space="4" w:color="auto"/>
        </w:pBdr>
        <w:jc w:val="both"/>
        <w:rPr>
          <w:i/>
        </w:rPr>
      </w:pPr>
      <w:hyperlink r:id="rId23" w:history="1">
        <w:r w:rsidR="002034DB" w:rsidRPr="008E1A3B">
          <w:rPr>
            <w:rStyle w:val="Lienhypertexte"/>
            <w:b/>
            <w:i/>
            <w:color w:val="auto"/>
          </w:rPr>
          <w:t>Arrêté du 28 octobre 2025</w:t>
        </w:r>
        <w:r w:rsidR="002034DB" w:rsidRPr="008E1A3B">
          <w:rPr>
            <w:rStyle w:val="Lienhypertexte"/>
            <w:i/>
            <w:color w:val="auto"/>
          </w:rPr>
          <w:t xml:space="preserve"> relatif à l'approbation du cahier des charges de l'appel à projets « </w:t>
        </w:r>
        <w:proofErr w:type="spellStart"/>
        <w:r w:rsidR="002034DB" w:rsidRPr="008E1A3B">
          <w:rPr>
            <w:rStyle w:val="Lienhypertexte"/>
            <w:i/>
            <w:color w:val="auto"/>
          </w:rPr>
          <w:t>AGIBaC</w:t>
        </w:r>
        <w:proofErr w:type="spellEnd"/>
        <w:r w:rsidR="002034DB" w:rsidRPr="008E1A3B">
          <w:rPr>
            <w:rStyle w:val="Lienhypertexte"/>
            <w:i/>
            <w:color w:val="auto"/>
          </w:rPr>
          <w:t xml:space="preserve"> ».</w:t>
        </w:r>
      </w:hyperlink>
    </w:p>
    <w:p w:rsidR="002034DB" w:rsidRDefault="002034DB" w:rsidP="000E6286">
      <w:pPr>
        <w:pStyle w:val="Textebrut"/>
        <w:jc w:val="both"/>
      </w:pPr>
    </w:p>
    <w:p w:rsidR="002034DB" w:rsidRDefault="002034DB" w:rsidP="000E6286">
      <w:pPr>
        <w:pStyle w:val="Textebrut"/>
        <w:jc w:val="both"/>
      </w:pPr>
    </w:p>
    <w:p w:rsidR="002034DB" w:rsidRDefault="002034DB" w:rsidP="000E6286">
      <w:pPr>
        <w:pStyle w:val="Textebrut"/>
        <w:jc w:val="both"/>
      </w:pPr>
    </w:p>
    <w:p w:rsidR="002034DB" w:rsidRPr="002034DB" w:rsidRDefault="002034DB" w:rsidP="002034DB">
      <w:pPr>
        <w:pStyle w:val="Textebrut"/>
        <w:pBdr>
          <w:left w:val="single" w:sz="4" w:space="4" w:color="auto"/>
        </w:pBdr>
        <w:jc w:val="both"/>
        <w:rPr>
          <w:b/>
        </w:rPr>
      </w:pPr>
      <w:r w:rsidRPr="002034DB">
        <w:rPr>
          <w:b/>
        </w:rPr>
        <w:sym w:font="Wingdings" w:char="F0E8"/>
      </w:r>
      <w:r w:rsidRPr="002034DB">
        <w:rPr>
          <w:b/>
        </w:rPr>
        <w:t xml:space="preserve"> Approbation du cahier des</w:t>
      </w:r>
      <w:r>
        <w:rPr>
          <w:b/>
        </w:rPr>
        <w:t xml:space="preserve"> </w:t>
      </w:r>
      <w:r w:rsidRPr="002034DB">
        <w:rPr>
          <w:b/>
        </w:rPr>
        <w:t>charges du programme « Plan Osez l’IA »</w:t>
      </w:r>
    </w:p>
    <w:p w:rsidR="002034DB" w:rsidRDefault="002034DB" w:rsidP="002034DB">
      <w:pPr>
        <w:pStyle w:val="Textebrut"/>
        <w:pBdr>
          <w:left w:val="single" w:sz="4" w:space="4" w:color="auto"/>
        </w:pBdr>
        <w:jc w:val="both"/>
      </w:pPr>
    </w:p>
    <w:p w:rsidR="002034DB" w:rsidRDefault="002034DB" w:rsidP="002034DB">
      <w:pPr>
        <w:pStyle w:val="Textebrut"/>
        <w:pBdr>
          <w:left w:val="single" w:sz="4" w:space="4" w:color="auto"/>
        </w:pBdr>
        <w:jc w:val="both"/>
      </w:pPr>
      <w:r>
        <w:t>Le cahier des charges du programme « Plan Osez l’IA : phase d’accompagnement et d’adoption » du plan France 2030, relatif à l’action « Soutien au déploiement », est approuvé.</w:t>
      </w:r>
    </w:p>
    <w:p w:rsidR="002034DB" w:rsidRDefault="002034DB" w:rsidP="002034DB">
      <w:pPr>
        <w:pStyle w:val="Textebrut"/>
        <w:pBdr>
          <w:left w:val="single" w:sz="4" w:space="4" w:color="auto"/>
        </w:pBdr>
        <w:jc w:val="both"/>
      </w:pPr>
    </w:p>
    <w:p w:rsidR="002034DB" w:rsidRPr="002034DB" w:rsidRDefault="00DC4DD5" w:rsidP="002034DB">
      <w:pPr>
        <w:pStyle w:val="Textebrut"/>
        <w:pBdr>
          <w:left w:val="single" w:sz="4" w:space="4" w:color="auto"/>
        </w:pBdr>
        <w:jc w:val="both"/>
        <w:rPr>
          <w:i/>
        </w:rPr>
      </w:pPr>
      <w:hyperlink r:id="rId24" w:history="1">
        <w:r w:rsidR="002034DB" w:rsidRPr="002034DB">
          <w:rPr>
            <w:rStyle w:val="Lienhypertexte"/>
            <w:b/>
            <w:i/>
            <w:color w:val="auto"/>
          </w:rPr>
          <w:t>Arrêté du 18 mars 2026</w:t>
        </w:r>
        <w:r w:rsidR="002034DB" w:rsidRPr="002034DB">
          <w:rPr>
            <w:rStyle w:val="Lienhypertexte"/>
            <w:i/>
            <w:color w:val="auto"/>
          </w:rPr>
          <w:t xml:space="preserve"> relatif à l'approbation du cahier des charges du programme « Plan Osez l'IA : phase d'accompagnement et d'adoption ».</w:t>
        </w:r>
      </w:hyperlink>
    </w:p>
    <w:p w:rsidR="002034DB" w:rsidRDefault="002034DB" w:rsidP="002034DB">
      <w:pPr>
        <w:pStyle w:val="Textebrut"/>
        <w:jc w:val="both"/>
      </w:pPr>
    </w:p>
    <w:p w:rsidR="002034DB" w:rsidRDefault="002034DB" w:rsidP="002034DB">
      <w:pPr>
        <w:pStyle w:val="Textebrut"/>
        <w:jc w:val="both"/>
      </w:pPr>
    </w:p>
    <w:p w:rsidR="002034DB" w:rsidRDefault="002034DB" w:rsidP="002034DB">
      <w:pPr>
        <w:pStyle w:val="Textebrut"/>
        <w:jc w:val="both"/>
      </w:pPr>
    </w:p>
    <w:p w:rsidR="000114B8" w:rsidRDefault="000114B8" w:rsidP="000114B8">
      <w:pPr>
        <w:pStyle w:val="Titre1"/>
      </w:pPr>
      <w:bookmarkStart w:id="10" w:name="_Toc235192798"/>
      <w:r>
        <w:lastRenderedPageBreak/>
        <w:t>Géothermie</w:t>
      </w:r>
      <w:bookmarkEnd w:id="10"/>
    </w:p>
    <w:p w:rsidR="000114B8" w:rsidRDefault="000114B8" w:rsidP="00FF1864">
      <w:pPr>
        <w:jc w:val="both"/>
      </w:pPr>
    </w:p>
    <w:p w:rsidR="00EF5961" w:rsidRPr="00516589" w:rsidRDefault="00EF5961" w:rsidP="00516589">
      <w:pPr>
        <w:pBdr>
          <w:left w:val="single" w:sz="4" w:space="4" w:color="auto"/>
        </w:pBdr>
        <w:jc w:val="both"/>
        <w:rPr>
          <w:b/>
        </w:rPr>
      </w:pPr>
      <w:r w:rsidRPr="00516589">
        <w:rPr>
          <w:b/>
        </w:rPr>
        <w:sym w:font="Wingdings" w:char="F0E8"/>
      </w:r>
      <w:r w:rsidRPr="00516589">
        <w:rPr>
          <w:b/>
        </w:rPr>
        <w:t xml:space="preserve"> </w:t>
      </w:r>
      <w:r w:rsidR="00516589" w:rsidRPr="00516589">
        <w:rPr>
          <w:b/>
        </w:rPr>
        <w:t>Développement de la géotherm</w:t>
      </w:r>
      <w:r w:rsidR="00516589">
        <w:rPr>
          <w:b/>
        </w:rPr>
        <w:t>ie, notamment en a</w:t>
      </w:r>
      <w:r w:rsidR="00516589" w:rsidRPr="00516589">
        <w:rPr>
          <w:b/>
        </w:rPr>
        <w:t>ugmentant le seuil de la géothermie de minime importance sur sonde à 2 MW (précédemment 500 kW)</w:t>
      </w:r>
    </w:p>
    <w:p w:rsidR="00EF5961" w:rsidRDefault="00EF5961" w:rsidP="00516589">
      <w:pPr>
        <w:pBdr>
          <w:left w:val="single" w:sz="4" w:space="4" w:color="auto"/>
        </w:pBdr>
        <w:jc w:val="both"/>
      </w:pPr>
    </w:p>
    <w:p w:rsidR="007B701A" w:rsidRDefault="007B701A" w:rsidP="00516589">
      <w:pPr>
        <w:pBdr>
          <w:left w:val="single" w:sz="4" w:space="4" w:color="auto"/>
        </w:pBdr>
        <w:jc w:val="both"/>
      </w:pPr>
      <w:r>
        <w:t xml:space="preserve">Le décret vise, tout d’abord, à faciliter le développement de la géothermie, en augmentant le seuil de la géothermie de minime importance sur sonde (à 2 MW), en excluant du régime légal des mines certaines activités géothermiques et en renforçant le régime de sanctions applicable aux travaux miniers soumis à autorisation. </w:t>
      </w:r>
    </w:p>
    <w:p w:rsidR="007B701A" w:rsidRDefault="007B701A" w:rsidP="00516589">
      <w:pPr>
        <w:pBdr>
          <w:left w:val="single" w:sz="4" w:space="4" w:color="auto"/>
        </w:pBdr>
        <w:jc w:val="both"/>
      </w:pPr>
    </w:p>
    <w:p w:rsidR="007B701A" w:rsidRDefault="007B701A" w:rsidP="00516589">
      <w:pPr>
        <w:pBdr>
          <w:left w:val="single" w:sz="4" w:space="4" w:color="auto"/>
        </w:pBdr>
        <w:jc w:val="both"/>
      </w:pPr>
      <w:r>
        <w:t xml:space="preserve">Par ailleurs, il adapte les dispositions relatives aux cessations d’activité des stockages souterrains de gaz naturel. </w:t>
      </w:r>
    </w:p>
    <w:p w:rsidR="007B701A" w:rsidRDefault="007B701A" w:rsidP="00516589">
      <w:pPr>
        <w:pBdr>
          <w:left w:val="single" w:sz="4" w:space="4" w:color="auto"/>
        </w:pBdr>
        <w:jc w:val="both"/>
      </w:pPr>
    </w:p>
    <w:p w:rsidR="007B701A" w:rsidRDefault="007B701A" w:rsidP="00516589">
      <w:pPr>
        <w:pBdr>
          <w:left w:val="single" w:sz="4" w:space="4" w:color="auto"/>
        </w:pBdr>
        <w:jc w:val="both"/>
      </w:pPr>
      <w:r>
        <w:t xml:space="preserve">Le décret définit également les modalités d’appel des sommes consignées en cas de non-exécution des dispositions relatives aux garanties financières, qui sont constituées pour certaines activités industrielles à l’origine de risques pour l’environnement. </w:t>
      </w:r>
    </w:p>
    <w:p w:rsidR="007B701A" w:rsidRDefault="007B701A" w:rsidP="00516589">
      <w:pPr>
        <w:pBdr>
          <w:left w:val="single" w:sz="4" w:space="4" w:color="auto"/>
        </w:pBdr>
        <w:jc w:val="both"/>
      </w:pPr>
    </w:p>
    <w:p w:rsidR="007B701A" w:rsidRDefault="007B701A" w:rsidP="00516589">
      <w:pPr>
        <w:pBdr>
          <w:left w:val="single" w:sz="4" w:space="4" w:color="auto"/>
        </w:pBdr>
        <w:jc w:val="both"/>
      </w:pPr>
      <w:r>
        <w:t xml:space="preserve">Enfin, il vise à faciliter la mise en œuvre de certaines dispositions de l’article 27 du règlement européen (UE) 2024/1252 du 11 avril 2024 (dit « CRM </w:t>
      </w:r>
      <w:proofErr w:type="spellStart"/>
      <w:r>
        <w:t>Act</w:t>
      </w:r>
      <w:proofErr w:type="spellEnd"/>
      <w:r>
        <w:t xml:space="preserve"> ») relatives aux déchets des industries extractives, visant à mieux connaître la teneur en matières premières critiques des déchets d’extraction des sites en exploitation et, le cas échéant, à réaliser une étude d’évaluation économique préliminaire concernant leurs possibilités de valorisation.</w:t>
      </w:r>
    </w:p>
    <w:p w:rsidR="007B701A" w:rsidRDefault="007B701A" w:rsidP="00516589">
      <w:pPr>
        <w:pBdr>
          <w:left w:val="single" w:sz="4" w:space="4" w:color="auto"/>
        </w:pBdr>
        <w:jc w:val="both"/>
      </w:pPr>
    </w:p>
    <w:p w:rsidR="00EF5961" w:rsidRPr="00EF5961" w:rsidRDefault="00DC4DD5" w:rsidP="00516589">
      <w:pPr>
        <w:pStyle w:val="Textebrut"/>
        <w:pBdr>
          <w:left w:val="single" w:sz="4" w:space="4" w:color="auto"/>
        </w:pBdr>
        <w:jc w:val="both"/>
        <w:rPr>
          <w:i/>
          <w:color w:val="000000" w:themeColor="text1"/>
        </w:rPr>
      </w:pPr>
      <w:hyperlink r:id="rId25" w:history="1">
        <w:r w:rsidR="00EF5961" w:rsidRPr="00EF5961">
          <w:rPr>
            <w:rStyle w:val="Lienhypertexte"/>
            <w:b/>
            <w:i/>
            <w:color w:val="000000" w:themeColor="text1"/>
          </w:rPr>
          <w:t>Décret n° 2026-537 du 25 juin 2026</w:t>
        </w:r>
        <w:r w:rsidR="00EF5961" w:rsidRPr="00EF5961">
          <w:rPr>
            <w:rStyle w:val="Lienhypertexte"/>
            <w:i/>
            <w:color w:val="000000" w:themeColor="text1"/>
          </w:rPr>
          <w:t xml:space="preserve"> portant diverses modifications en matière de prévention des risques concernant le sol et le sous-sol.</w:t>
        </w:r>
      </w:hyperlink>
    </w:p>
    <w:p w:rsidR="00EF5961" w:rsidRDefault="00EF5961" w:rsidP="00EF5961">
      <w:pPr>
        <w:pStyle w:val="Textebrut"/>
      </w:pPr>
    </w:p>
    <w:p w:rsidR="00C157CB" w:rsidRDefault="00C157CB" w:rsidP="00EF5961">
      <w:pPr>
        <w:pStyle w:val="Textebrut"/>
      </w:pPr>
    </w:p>
    <w:p w:rsidR="00F64FD4" w:rsidRDefault="00F64FD4" w:rsidP="00EF5961">
      <w:pPr>
        <w:pStyle w:val="Textebrut"/>
      </w:pPr>
    </w:p>
    <w:p w:rsidR="00EF5961" w:rsidRDefault="00C157CB" w:rsidP="00C157CB">
      <w:pPr>
        <w:pStyle w:val="Titre1"/>
      </w:pPr>
      <w:bookmarkStart w:id="11" w:name="_Toc235192799"/>
      <w:r>
        <w:t>Hydroélectricité</w:t>
      </w:r>
      <w:bookmarkEnd w:id="11"/>
    </w:p>
    <w:p w:rsidR="00C157CB" w:rsidRDefault="00C157CB" w:rsidP="00C157CB"/>
    <w:p w:rsidR="009D74B5" w:rsidRDefault="009D74B5" w:rsidP="00F15367">
      <w:pPr>
        <w:pBdr>
          <w:left w:val="single" w:sz="4" w:space="4" w:color="auto"/>
        </w:pBdr>
        <w:jc w:val="both"/>
        <w:rPr>
          <w:b/>
        </w:rPr>
      </w:pPr>
      <w:r w:rsidRPr="00262919">
        <w:rPr>
          <w:b/>
        </w:rPr>
        <w:sym w:font="Wingdings" w:char="F0E8"/>
      </w:r>
      <w:r w:rsidRPr="00262919">
        <w:rPr>
          <w:b/>
        </w:rPr>
        <w:t xml:space="preserve"> Relance des investissements dans le secteur de l’hydroélectricité pour</w:t>
      </w:r>
      <w:r w:rsidR="00262919" w:rsidRPr="00262919">
        <w:rPr>
          <w:b/>
        </w:rPr>
        <w:t xml:space="preserve"> </w:t>
      </w:r>
      <w:r w:rsidRPr="00262919">
        <w:rPr>
          <w:b/>
        </w:rPr>
        <w:t>contribuer à la transition énergétique</w:t>
      </w:r>
    </w:p>
    <w:p w:rsidR="00050E61" w:rsidRDefault="00050E61" w:rsidP="00F15367">
      <w:pPr>
        <w:pBdr>
          <w:left w:val="single" w:sz="4" w:space="4" w:color="auto"/>
        </w:pBdr>
        <w:jc w:val="both"/>
        <w:rPr>
          <w:b/>
        </w:rPr>
      </w:pPr>
    </w:p>
    <w:p w:rsidR="00050E61" w:rsidRPr="00F15367" w:rsidRDefault="00050E61" w:rsidP="00F15367">
      <w:pPr>
        <w:pBdr>
          <w:left w:val="single" w:sz="4" w:space="4" w:color="auto"/>
        </w:pBdr>
        <w:jc w:val="both"/>
      </w:pPr>
      <w:r w:rsidRPr="00F15367">
        <w:t>TITRE I - Résiliation des contrats de concession d’énergie hydraulique et attribution de droits réels sur les ouvrages et les installations hydrauliques de plus de 4500 kW.</w:t>
      </w:r>
    </w:p>
    <w:p w:rsidR="00050E61" w:rsidRPr="00F15367" w:rsidRDefault="00050E61" w:rsidP="00F15367">
      <w:pPr>
        <w:pBdr>
          <w:left w:val="single" w:sz="4" w:space="4" w:color="auto"/>
        </w:pBdr>
        <w:jc w:val="both"/>
        <w:rPr>
          <w:b/>
        </w:rPr>
      </w:pPr>
    </w:p>
    <w:p w:rsidR="00050E61" w:rsidRPr="00F15367" w:rsidRDefault="00050E61" w:rsidP="00F15367">
      <w:pPr>
        <w:pBdr>
          <w:left w:val="single" w:sz="4" w:space="4" w:color="auto"/>
        </w:pBdr>
        <w:jc w:val="both"/>
      </w:pPr>
      <w:r w:rsidRPr="00F15367">
        <w:t>TITRE II – Création d’un rég</w:t>
      </w:r>
      <w:r w:rsidR="00F15367">
        <w:t>ime d’autorisation de l’utilisation de l’énergie hydraulique pour les installations de plus de 4500 kW.</w:t>
      </w:r>
    </w:p>
    <w:p w:rsidR="00050E61" w:rsidRPr="00F15367" w:rsidRDefault="00050E61" w:rsidP="00F15367">
      <w:pPr>
        <w:pBdr>
          <w:left w:val="single" w:sz="4" w:space="4" w:color="auto"/>
        </w:pBdr>
        <w:jc w:val="both"/>
      </w:pPr>
    </w:p>
    <w:p w:rsidR="00050E61" w:rsidRPr="00F15367" w:rsidRDefault="00050E61" w:rsidP="00F15367">
      <w:pPr>
        <w:pBdr>
          <w:left w:val="single" w:sz="4" w:space="4" w:color="auto"/>
        </w:pBdr>
        <w:jc w:val="both"/>
      </w:pPr>
      <w:r w:rsidRPr="00F15367">
        <w:t xml:space="preserve">TITRE III </w:t>
      </w:r>
      <w:r w:rsidR="00F15367">
        <w:t>- Création d’un dispositif de mise à disposition du marché de produits représentatifs des actifs hydroélectriques.</w:t>
      </w:r>
    </w:p>
    <w:p w:rsidR="00050E61" w:rsidRPr="00F15367" w:rsidRDefault="00050E61" w:rsidP="00F15367">
      <w:pPr>
        <w:pBdr>
          <w:left w:val="single" w:sz="4" w:space="4" w:color="auto"/>
        </w:pBdr>
        <w:jc w:val="both"/>
      </w:pPr>
    </w:p>
    <w:p w:rsidR="00050E61" w:rsidRDefault="00050E61" w:rsidP="00F15367">
      <w:pPr>
        <w:pBdr>
          <w:left w:val="single" w:sz="4" w:space="4" w:color="auto"/>
        </w:pBdr>
        <w:jc w:val="both"/>
      </w:pPr>
      <w:r w:rsidRPr="00F15367">
        <w:t xml:space="preserve">TITRE IV </w:t>
      </w:r>
      <w:r w:rsidR="00F15367">
        <w:t>– Dispositions particulières applicables à certaines installations hydroélectriques et dispositions transitoires.</w:t>
      </w:r>
    </w:p>
    <w:p w:rsidR="00050E61" w:rsidRDefault="00050E61" w:rsidP="00F15367">
      <w:pPr>
        <w:pBdr>
          <w:left w:val="single" w:sz="4" w:space="4" w:color="auto"/>
        </w:pBdr>
        <w:jc w:val="both"/>
        <w:rPr>
          <w:b/>
        </w:rPr>
      </w:pPr>
    </w:p>
    <w:p w:rsidR="00050E61" w:rsidRPr="00262919" w:rsidRDefault="00050E61" w:rsidP="00F15367">
      <w:pPr>
        <w:pBdr>
          <w:left w:val="single" w:sz="4" w:space="4" w:color="auto"/>
        </w:pBdr>
        <w:jc w:val="both"/>
        <w:rPr>
          <w:b/>
        </w:rPr>
      </w:pPr>
      <w:r>
        <w:t xml:space="preserve">TITRE V </w:t>
      </w:r>
      <w:r w:rsidR="00F15367">
        <w:t>– Autres mesures relatives à l’hydroélectricité.</w:t>
      </w:r>
    </w:p>
    <w:p w:rsidR="009D74B5" w:rsidRDefault="009D74B5" w:rsidP="00F15367">
      <w:pPr>
        <w:pBdr>
          <w:left w:val="single" w:sz="4" w:space="4" w:color="auto"/>
        </w:pBdr>
      </w:pPr>
    </w:p>
    <w:p w:rsidR="00C157CB" w:rsidRPr="00C157CB" w:rsidRDefault="00DC4DD5" w:rsidP="00F15367">
      <w:pPr>
        <w:pBdr>
          <w:left w:val="single" w:sz="4" w:space="4" w:color="auto"/>
        </w:pBdr>
        <w:jc w:val="both"/>
        <w:rPr>
          <w:i/>
          <w:color w:val="000000" w:themeColor="text1"/>
        </w:rPr>
      </w:pPr>
      <w:hyperlink r:id="rId26" w:history="1">
        <w:r w:rsidR="00C157CB" w:rsidRPr="00C157CB">
          <w:rPr>
            <w:rStyle w:val="Lienhypertexte"/>
            <w:b/>
            <w:i/>
            <w:color w:val="000000" w:themeColor="text1"/>
          </w:rPr>
          <w:t>LOI n° 2026-554 du 29 juin 2026</w:t>
        </w:r>
        <w:r w:rsidR="00C157CB" w:rsidRPr="00C157CB">
          <w:rPr>
            <w:rStyle w:val="Lienhypertexte"/>
            <w:i/>
            <w:color w:val="000000" w:themeColor="text1"/>
          </w:rPr>
          <w:t xml:space="preserve"> visant à relancer les investissements dans le secteur de l'hydroélectricité pour contribuer à la transition énergétique.</w:t>
        </w:r>
      </w:hyperlink>
    </w:p>
    <w:p w:rsidR="00C157CB" w:rsidRDefault="00C157CB" w:rsidP="00C157CB"/>
    <w:p w:rsidR="00C157CB" w:rsidRDefault="00C157CB" w:rsidP="00C157CB"/>
    <w:p w:rsidR="00C157CB" w:rsidRPr="00C157CB" w:rsidRDefault="00C157CB" w:rsidP="00C157CB"/>
    <w:p w:rsidR="00615956" w:rsidRDefault="00793F5F" w:rsidP="00793F5F">
      <w:pPr>
        <w:pStyle w:val="Titre1"/>
      </w:pPr>
      <w:bookmarkStart w:id="12" w:name="_Toc235192800"/>
      <w:r>
        <w:t>ICPE</w:t>
      </w:r>
      <w:bookmarkEnd w:id="12"/>
    </w:p>
    <w:p w:rsidR="00793F5F" w:rsidRDefault="00793F5F" w:rsidP="00793F5F"/>
    <w:p w:rsidR="00793F5F" w:rsidRPr="00793F5F" w:rsidRDefault="00793F5F" w:rsidP="00793F5F">
      <w:pPr>
        <w:pBdr>
          <w:left w:val="single" w:sz="4" w:space="4" w:color="auto"/>
        </w:pBdr>
        <w:rPr>
          <w:b/>
        </w:rPr>
      </w:pPr>
      <w:r w:rsidRPr="00793F5F">
        <w:rPr>
          <w:b/>
        </w:rPr>
        <w:sym w:font="Wingdings" w:char="F0E8"/>
      </w:r>
      <w:r w:rsidRPr="00793F5F">
        <w:rPr>
          <w:b/>
        </w:rPr>
        <w:t xml:space="preserve"> Modification de plusieurs arrêtés relatifs aux installations de traitement de déchets</w:t>
      </w:r>
    </w:p>
    <w:p w:rsidR="00793F5F" w:rsidRDefault="00793F5F" w:rsidP="00793F5F">
      <w:pPr>
        <w:pBdr>
          <w:left w:val="single" w:sz="4" w:space="4" w:color="auto"/>
        </w:pBdr>
      </w:pPr>
    </w:p>
    <w:p w:rsidR="00793F5F" w:rsidRDefault="00793F5F" w:rsidP="00793F5F">
      <w:pPr>
        <w:pBdr>
          <w:left w:val="single" w:sz="4" w:space="4" w:color="auto"/>
        </w:pBdr>
        <w:jc w:val="both"/>
      </w:pPr>
      <w:r>
        <w:t>Le présent arrêté vise à mettre en conformité les arrêtés visés avec plusieurs textes européens, en particulier la directive 2010/75/UE du Parlement européen et du Conseil relative aux émissions industrielles et aux émissions de l’élevage (prévention et réduction intégrées de la pollution) dans sa version modifiée par la directive 2024/1785 du 24 avril 2024 et les décisions d’exécution établissant les meilleures techniques disponibles pour le traitement des déchets ou l’incinération de déchets.</w:t>
      </w:r>
    </w:p>
    <w:p w:rsidR="00793F5F" w:rsidRDefault="00793F5F" w:rsidP="00793F5F">
      <w:pPr>
        <w:pBdr>
          <w:left w:val="single" w:sz="4" w:space="4" w:color="auto"/>
        </w:pBdr>
      </w:pPr>
    </w:p>
    <w:p w:rsidR="00793F5F" w:rsidRPr="00793F5F" w:rsidRDefault="00DC4DD5" w:rsidP="00793F5F">
      <w:pPr>
        <w:pBdr>
          <w:left w:val="single" w:sz="4" w:space="4" w:color="auto"/>
        </w:pBdr>
        <w:jc w:val="both"/>
        <w:rPr>
          <w:i/>
        </w:rPr>
      </w:pPr>
      <w:hyperlink r:id="rId27" w:history="1">
        <w:r w:rsidR="00793F5F" w:rsidRPr="00793F5F">
          <w:rPr>
            <w:rStyle w:val="Lienhypertexte"/>
            <w:b/>
            <w:i/>
            <w:color w:val="000000" w:themeColor="text1"/>
          </w:rPr>
          <w:t>Arrêté du 4 juin 2026</w:t>
        </w:r>
        <w:r w:rsidR="00793F5F" w:rsidRPr="00793F5F">
          <w:rPr>
            <w:rStyle w:val="Lienhypertexte"/>
            <w:i/>
            <w:color w:val="000000" w:themeColor="text1"/>
          </w:rPr>
          <w:t xml:space="preserve"> modifiant plusieurs arrêtés relatifs aux installations de traitement de déchets.</w:t>
        </w:r>
      </w:hyperlink>
    </w:p>
    <w:p w:rsidR="00793F5F" w:rsidRDefault="00793F5F" w:rsidP="00793F5F"/>
    <w:p w:rsidR="00F64FD4" w:rsidRDefault="00F64FD4" w:rsidP="00793F5F"/>
    <w:p w:rsidR="00793F5F" w:rsidRDefault="00793F5F" w:rsidP="00793F5F"/>
    <w:p w:rsidR="003163E6" w:rsidRPr="009F447D" w:rsidRDefault="003163E6" w:rsidP="009F447D">
      <w:pPr>
        <w:pBdr>
          <w:left w:val="single" w:sz="4" w:space="4" w:color="auto"/>
        </w:pBdr>
        <w:rPr>
          <w:b/>
        </w:rPr>
      </w:pPr>
      <w:r w:rsidRPr="009F447D">
        <w:rPr>
          <w:b/>
        </w:rPr>
        <w:sym w:font="Wingdings" w:char="F0E8"/>
      </w:r>
      <w:r w:rsidR="009F447D" w:rsidRPr="009F447D">
        <w:rPr>
          <w:b/>
        </w:rPr>
        <w:t xml:space="preserve"> Modification de la rubrique 2910, relative à l’activité de combustion, pour y intégrer l’utilisation de certains bioliquides</w:t>
      </w:r>
    </w:p>
    <w:p w:rsidR="003163E6" w:rsidRDefault="003163E6" w:rsidP="009F447D">
      <w:pPr>
        <w:pBdr>
          <w:left w:val="single" w:sz="4" w:space="4" w:color="auto"/>
        </w:pBdr>
      </w:pPr>
    </w:p>
    <w:p w:rsidR="003163E6" w:rsidRDefault="003163E6" w:rsidP="009F447D">
      <w:pPr>
        <w:pBdr>
          <w:left w:val="single" w:sz="4" w:space="4" w:color="auto"/>
        </w:pBdr>
        <w:jc w:val="both"/>
      </w:pPr>
      <w:r>
        <w:t>Le décret modifie le libellé de la rubrique 2910 de la nomenclature des installations classées pour la protection de l’environnement, relative à l’activité de combustion pour y intégrer l’utilisation de certains bioliquides.</w:t>
      </w:r>
    </w:p>
    <w:p w:rsidR="003163E6" w:rsidRDefault="003163E6" w:rsidP="009F447D">
      <w:pPr>
        <w:pBdr>
          <w:left w:val="single" w:sz="4" w:space="4" w:color="auto"/>
        </w:pBdr>
        <w:jc w:val="both"/>
      </w:pPr>
    </w:p>
    <w:p w:rsidR="003163E6" w:rsidRDefault="003163E6" w:rsidP="009F447D">
      <w:pPr>
        <w:pBdr>
          <w:left w:val="single" w:sz="4" w:space="4" w:color="auto"/>
        </w:pBdr>
        <w:jc w:val="both"/>
      </w:pPr>
      <w:r>
        <w:t>La rubrique 2910 exclut les activités visées par les rubriques 2770 (installation de traitement thermique de déchets dangereux), 2771 (installation de traitement thermique de déchets non dangereux), 2971 (installation de production de chaleur ou d’électricité à partir de déchets non dangereux ) ou 2931 (moteurs à combustion interne ou à réaction, turbines à combustion) et les installations classées au titre de la rubrique 3110 (combustion de combustibles dans des installations d’une puissance thermique nominale totale égale ou supérieure à 50 MW) ou au titre d’autres rubriques de la nomenclature pour lesquelles la combustion participe à la fusion, la cuisson ou au traitement, en mélange avec les gaz de combustion, des matières entrantes.</w:t>
      </w:r>
    </w:p>
    <w:p w:rsidR="003163E6" w:rsidRDefault="003163E6" w:rsidP="009F447D">
      <w:pPr>
        <w:pBdr>
          <w:left w:val="single" w:sz="4" w:space="4" w:color="auto"/>
        </w:pBdr>
        <w:jc w:val="both"/>
      </w:pPr>
    </w:p>
    <w:p w:rsidR="003163E6" w:rsidRPr="003163E6" w:rsidRDefault="00DC4DD5" w:rsidP="009F447D">
      <w:pPr>
        <w:pBdr>
          <w:left w:val="single" w:sz="4" w:space="4" w:color="auto"/>
        </w:pBdr>
        <w:jc w:val="both"/>
        <w:rPr>
          <w:i/>
          <w:color w:val="000000" w:themeColor="text1"/>
        </w:rPr>
      </w:pPr>
      <w:hyperlink r:id="rId28" w:history="1">
        <w:r w:rsidR="003163E6" w:rsidRPr="003163E6">
          <w:rPr>
            <w:rStyle w:val="Lienhypertexte"/>
            <w:b/>
            <w:i/>
            <w:color w:val="000000" w:themeColor="text1"/>
          </w:rPr>
          <w:t>Décret n° 2026-533 du 23 juin 2026</w:t>
        </w:r>
        <w:r w:rsidR="003163E6" w:rsidRPr="003163E6">
          <w:rPr>
            <w:rStyle w:val="Lienhypertexte"/>
            <w:i/>
            <w:color w:val="000000" w:themeColor="text1"/>
          </w:rPr>
          <w:t xml:space="preserve"> modifiant la nomenclature des installations classées pour la protection de l'environnement.</w:t>
        </w:r>
      </w:hyperlink>
    </w:p>
    <w:p w:rsidR="003163E6" w:rsidRDefault="003163E6" w:rsidP="003163E6"/>
    <w:p w:rsidR="00F64FD4" w:rsidRDefault="00F64FD4" w:rsidP="003163E6"/>
    <w:p w:rsidR="003163E6" w:rsidRDefault="003163E6" w:rsidP="003163E6"/>
    <w:p w:rsidR="003533F9" w:rsidRPr="00105788" w:rsidRDefault="003533F9" w:rsidP="00C92B41">
      <w:pPr>
        <w:pBdr>
          <w:left w:val="single" w:sz="4" w:space="4" w:color="auto"/>
        </w:pBdr>
        <w:jc w:val="both"/>
        <w:rPr>
          <w:b/>
        </w:rPr>
      </w:pPr>
      <w:r w:rsidRPr="00105788">
        <w:rPr>
          <w:b/>
        </w:rPr>
        <w:sym w:font="Wingdings" w:char="F0E8"/>
      </w:r>
      <w:r w:rsidRPr="00105788">
        <w:rPr>
          <w:b/>
        </w:rPr>
        <w:t xml:space="preserve"> </w:t>
      </w:r>
      <w:r w:rsidR="00105788" w:rsidRPr="00105788">
        <w:rPr>
          <w:b/>
        </w:rPr>
        <w:t>Modification des prescriptions générales contenues dans plusieurs arrêtés relatifs aux installations de combustion dites « de taille moyenne » afin d’y intégrer l’utilisation de certains bioliquides désignés dans la rubrique 2910</w:t>
      </w:r>
    </w:p>
    <w:p w:rsidR="00105788" w:rsidRDefault="00105788" w:rsidP="00C92B41">
      <w:pPr>
        <w:pBdr>
          <w:left w:val="single" w:sz="4" w:space="4" w:color="auto"/>
        </w:pBdr>
      </w:pPr>
    </w:p>
    <w:p w:rsidR="00105788" w:rsidRDefault="00105788" w:rsidP="00C92B41">
      <w:pPr>
        <w:pBdr>
          <w:left w:val="single" w:sz="4" w:space="4" w:color="auto"/>
        </w:pBdr>
        <w:jc w:val="both"/>
      </w:pPr>
      <w:r>
        <w:t xml:space="preserve">L’arrêté modifie les prescriptions générales contenues dans plusieurs arrêtés relatifs aux installations de combustion dites « de taille moyenne » afin d’y intégrer l’utilisation de certains bioliquides nommément désignés dans la rubrique 2910 de la nomenclature des installations classées pour la protection de l’environnement. </w:t>
      </w:r>
    </w:p>
    <w:p w:rsidR="00105788" w:rsidRDefault="00105788" w:rsidP="00C92B41">
      <w:pPr>
        <w:pBdr>
          <w:left w:val="single" w:sz="4" w:space="4" w:color="auto"/>
        </w:pBdr>
        <w:jc w:val="both"/>
      </w:pPr>
    </w:p>
    <w:p w:rsidR="00105788" w:rsidRDefault="00105788" w:rsidP="00C92B41">
      <w:pPr>
        <w:pBdr>
          <w:left w:val="single" w:sz="4" w:space="4" w:color="auto"/>
        </w:pBdr>
        <w:jc w:val="both"/>
      </w:pPr>
      <w:r>
        <w:t xml:space="preserve">La rubrique 2910 exclut les activités visées par les rubriques 2770 (installation de traitement thermique de déchets dangereux), 2771 (installation de traitement thermique de déchets non dangereux), 2971 (installation de production de chaleur ou d’électricité à partir de déchets non dangereux ) ou 2931 (moteurs à combustion interne ou à réaction, turbines à combustion) et les installations classées au </w:t>
      </w:r>
      <w:r>
        <w:lastRenderedPageBreak/>
        <w:t>titre de la rubrique 3110 (combustion de combustibles dans des installations d’une puissance thermique nominale totale égale ou supérieure à 50 MW) ou au titre d’autres rubriques de la nomenclature pour lesquelles la combustion participe à la fusion, la cuisson ou au traitement, en mélange avec les gaz de combustion, des matières entrantes.</w:t>
      </w:r>
    </w:p>
    <w:p w:rsidR="00105788" w:rsidRDefault="00105788" w:rsidP="00C92B41">
      <w:pPr>
        <w:pBdr>
          <w:left w:val="single" w:sz="4" w:space="4" w:color="auto"/>
        </w:pBdr>
      </w:pPr>
    </w:p>
    <w:p w:rsidR="003163E6" w:rsidRPr="003533F9" w:rsidRDefault="00DC4DD5" w:rsidP="00C92B41">
      <w:pPr>
        <w:pBdr>
          <w:left w:val="single" w:sz="4" w:space="4" w:color="auto"/>
        </w:pBdr>
        <w:jc w:val="both"/>
        <w:rPr>
          <w:i/>
          <w:color w:val="000000" w:themeColor="text1"/>
        </w:rPr>
      </w:pPr>
      <w:hyperlink r:id="rId29" w:history="1">
        <w:r w:rsidR="003163E6" w:rsidRPr="003533F9">
          <w:rPr>
            <w:rStyle w:val="Lienhypertexte"/>
            <w:b/>
            <w:i/>
            <w:color w:val="000000" w:themeColor="text1"/>
          </w:rPr>
          <w:t>Arrêté du 23 juin 2026</w:t>
        </w:r>
        <w:r w:rsidR="003163E6" w:rsidRPr="003533F9">
          <w:rPr>
            <w:rStyle w:val="Lienhypertexte"/>
            <w:i/>
            <w:color w:val="000000" w:themeColor="text1"/>
          </w:rPr>
          <w:t xml:space="preserve"> modifiant plusieurs arrêtés du 3 août 2018 relatifs aux installations de combustion</w:t>
        </w:r>
        <w:r w:rsidR="003533F9" w:rsidRPr="003533F9">
          <w:rPr>
            <w:rStyle w:val="Lienhypertexte"/>
            <w:i/>
            <w:color w:val="000000" w:themeColor="text1"/>
          </w:rPr>
          <w:t>.</w:t>
        </w:r>
      </w:hyperlink>
    </w:p>
    <w:p w:rsidR="003533F9" w:rsidRDefault="003533F9" w:rsidP="003163E6"/>
    <w:p w:rsidR="003533F9" w:rsidRDefault="003533F9" w:rsidP="003163E6"/>
    <w:p w:rsidR="00F64FD4" w:rsidRPr="00793F5F" w:rsidRDefault="00F64FD4" w:rsidP="003163E6"/>
    <w:p w:rsidR="00F07775" w:rsidRDefault="0091615A" w:rsidP="0091615A">
      <w:pPr>
        <w:pStyle w:val="Titre1"/>
      </w:pPr>
      <w:bookmarkStart w:id="13" w:name="_Toc235192801"/>
      <w:r>
        <w:t xml:space="preserve">Prime </w:t>
      </w:r>
      <w:r w:rsidR="008A1C63">
        <w:t xml:space="preserve">de </w:t>
      </w:r>
      <w:r>
        <w:t>transition énergétique</w:t>
      </w:r>
      <w:bookmarkEnd w:id="13"/>
    </w:p>
    <w:p w:rsidR="0091615A" w:rsidRDefault="0091615A" w:rsidP="0091615A"/>
    <w:p w:rsidR="008A1C63" w:rsidRPr="008A1C63" w:rsidRDefault="008A1C63" w:rsidP="006F1A83">
      <w:pPr>
        <w:pBdr>
          <w:left w:val="single" w:sz="4" w:space="4" w:color="auto"/>
        </w:pBdr>
        <w:jc w:val="both"/>
        <w:rPr>
          <w:b/>
        </w:rPr>
      </w:pPr>
      <w:r w:rsidRPr="008A1C63">
        <w:rPr>
          <w:b/>
        </w:rPr>
        <w:sym w:font="Wingdings" w:char="F0E8"/>
      </w:r>
      <w:r w:rsidRPr="008A1C63">
        <w:rPr>
          <w:b/>
        </w:rPr>
        <w:t xml:space="preserve"> Insertion des dates d’application et du tableau pour la disposition relative à la prime de transition énergétique</w:t>
      </w:r>
    </w:p>
    <w:p w:rsidR="008A1C63" w:rsidRDefault="008A1C63" w:rsidP="008A1C63">
      <w:pPr>
        <w:pBdr>
          <w:left w:val="single" w:sz="4" w:space="4" w:color="auto"/>
        </w:pBdr>
      </w:pPr>
    </w:p>
    <w:p w:rsidR="008A1C63" w:rsidRDefault="008A1C63" w:rsidP="008A1C63">
      <w:pPr>
        <w:pBdr>
          <w:left w:val="single" w:sz="4" w:space="4" w:color="auto"/>
        </w:pBdr>
        <w:jc w:val="both"/>
      </w:pPr>
      <w:r>
        <w:t>Le présent arrêté vise à reprendre la disposition de l’arrêté du 4 décembre 2024 modifiant l’arrêté du 14 janvier 2020 relatif à la prime de transition énergétique qui réduit les aides susceptibles d’être accordées pour l’installation de chaudières et d’équipements fonctionnant au bois ou autres biomasses (1° de l’article 4 de l’arrêté), cette disposition ayant été annulée par la décision n°501151 du 11 mars 2026 du Conseil d’Etat, en raison d’un défaut de signature du ministre des outre-mer. Cette décision n’affecte pas les autres dispositions de l’arrêté du 4 décembre 2024.</w:t>
      </w:r>
    </w:p>
    <w:p w:rsidR="008A1C63" w:rsidRDefault="008A1C63" w:rsidP="008A1C63">
      <w:pPr>
        <w:pBdr>
          <w:left w:val="single" w:sz="4" w:space="4" w:color="auto"/>
        </w:pBdr>
      </w:pPr>
    </w:p>
    <w:p w:rsidR="0091615A" w:rsidRPr="008A1C63" w:rsidRDefault="00DC4DD5" w:rsidP="008A1C63">
      <w:pPr>
        <w:pBdr>
          <w:left w:val="single" w:sz="4" w:space="4" w:color="auto"/>
        </w:pBdr>
        <w:jc w:val="both"/>
        <w:rPr>
          <w:i/>
          <w:color w:val="000000" w:themeColor="text1"/>
        </w:rPr>
      </w:pPr>
      <w:hyperlink r:id="rId30" w:history="1">
        <w:r w:rsidR="0091615A" w:rsidRPr="008A1C63">
          <w:rPr>
            <w:rStyle w:val="Lienhypertexte"/>
            <w:b/>
            <w:i/>
            <w:color w:val="000000" w:themeColor="text1"/>
          </w:rPr>
          <w:t>Arrêté du 10 juin 2026</w:t>
        </w:r>
        <w:r w:rsidR="0091615A" w:rsidRPr="008A1C63">
          <w:rPr>
            <w:rStyle w:val="Lienhypertexte"/>
            <w:i/>
            <w:color w:val="000000" w:themeColor="text1"/>
          </w:rPr>
          <w:t xml:space="preserve"> modifiant l'arrêté du 14 janvier 2020 relatif à la prime de transition</w:t>
        </w:r>
        <w:r w:rsidR="008A1C63" w:rsidRPr="008A1C63">
          <w:rPr>
            <w:rStyle w:val="Lienhypertexte"/>
            <w:i/>
            <w:color w:val="000000" w:themeColor="text1"/>
          </w:rPr>
          <w:t xml:space="preserve"> </w:t>
        </w:r>
        <w:r w:rsidR="0091615A" w:rsidRPr="008A1C63">
          <w:rPr>
            <w:rStyle w:val="Lienhypertexte"/>
            <w:i/>
            <w:color w:val="000000" w:themeColor="text1"/>
          </w:rPr>
          <w:t>énergétique</w:t>
        </w:r>
        <w:r w:rsidR="008A1C63" w:rsidRPr="008A1C63">
          <w:rPr>
            <w:rStyle w:val="Lienhypertexte"/>
            <w:i/>
            <w:color w:val="000000" w:themeColor="text1"/>
          </w:rPr>
          <w:t>.</w:t>
        </w:r>
      </w:hyperlink>
    </w:p>
    <w:p w:rsidR="008A1C63" w:rsidRDefault="008A1C63" w:rsidP="0091615A"/>
    <w:p w:rsidR="008A1C63" w:rsidRDefault="008A1C63" w:rsidP="0091615A"/>
    <w:p w:rsidR="006F5E7F" w:rsidRDefault="006F5E7F" w:rsidP="0091615A"/>
    <w:p w:rsidR="0091615A" w:rsidRPr="00C95966" w:rsidRDefault="006F5E7F" w:rsidP="00C95966">
      <w:pPr>
        <w:pBdr>
          <w:left w:val="single" w:sz="4" w:space="4" w:color="auto"/>
        </w:pBdr>
        <w:rPr>
          <w:b/>
        </w:rPr>
      </w:pPr>
      <w:r w:rsidRPr="00C95966">
        <w:rPr>
          <w:b/>
        </w:rPr>
        <w:sym w:font="Wingdings" w:char="F0E8"/>
      </w:r>
      <w:r w:rsidRPr="00C95966">
        <w:rPr>
          <w:b/>
        </w:rPr>
        <w:t xml:space="preserve"> </w:t>
      </w:r>
      <w:r w:rsidR="00C95966" w:rsidRPr="00C95966">
        <w:rPr>
          <w:b/>
        </w:rPr>
        <w:t>Sécurisation du dispositif relatif à la prime de transition énergétique</w:t>
      </w:r>
    </w:p>
    <w:p w:rsidR="006F5E7F" w:rsidRDefault="006F5E7F" w:rsidP="00C95966">
      <w:pPr>
        <w:pBdr>
          <w:left w:val="single" w:sz="4" w:space="4" w:color="auto"/>
        </w:pBdr>
      </w:pPr>
    </w:p>
    <w:p w:rsidR="006F5E7F" w:rsidRDefault="00C95966" w:rsidP="00C95966">
      <w:pPr>
        <w:pBdr>
          <w:left w:val="single" w:sz="4" w:space="4" w:color="auto"/>
        </w:pBdr>
        <w:jc w:val="both"/>
      </w:pPr>
      <w:r>
        <w:t>Le présent arrêté vise à sécuriser les évolutions prévues initialement par l’arrêté du 20 février 2026 modifiant l’arrêté du 14 janvier 2020 relatif à la prime de transition énergétique, en cohérence avec la décision no 501151 du 11 mars 2026 du Conseil d’Etat.</w:t>
      </w:r>
    </w:p>
    <w:p w:rsidR="00C95966" w:rsidRDefault="00C95966" w:rsidP="00C95966">
      <w:pPr>
        <w:pBdr>
          <w:left w:val="single" w:sz="4" w:space="4" w:color="auto"/>
        </w:pBdr>
      </w:pPr>
    </w:p>
    <w:p w:rsidR="0091615A" w:rsidRPr="006E5B72" w:rsidRDefault="00DC4DD5" w:rsidP="00C95966">
      <w:pPr>
        <w:pBdr>
          <w:left w:val="single" w:sz="4" w:space="4" w:color="auto"/>
        </w:pBdr>
        <w:jc w:val="both"/>
        <w:rPr>
          <w:i/>
          <w:color w:val="000000" w:themeColor="text1"/>
        </w:rPr>
      </w:pPr>
      <w:hyperlink r:id="rId31" w:history="1">
        <w:r w:rsidR="0091615A" w:rsidRPr="006E5B72">
          <w:rPr>
            <w:rStyle w:val="Lienhypertexte"/>
            <w:b/>
            <w:i/>
            <w:color w:val="000000" w:themeColor="text1"/>
          </w:rPr>
          <w:t>Arrêté du 11 juin 2026</w:t>
        </w:r>
        <w:r w:rsidR="0091615A" w:rsidRPr="006E5B72">
          <w:rPr>
            <w:rStyle w:val="Lienhypertexte"/>
            <w:i/>
            <w:color w:val="000000" w:themeColor="text1"/>
          </w:rPr>
          <w:t xml:space="preserve"> modifiant l'arrêté du 14 janvier 2020 relatif à la prime de transition énergétique</w:t>
        </w:r>
        <w:r w:rsidR="006E5B72" w:rsidRPr="006E5B72">
          <w:rPr>
            <w:rStyle w:val="Lienhypertexte"/>
            <w:i/>
            <w:color w:val="000000" w:themeColor="text1"/>
          </w:rPr>
          <w:t>.</w:t>
        </w:r>
      </w:hyperlink>
    </w:p>
    <w:p w:rsidR="006E5B72" w:rsidRDefault="006E5B72" w:rsidP="0091615A"/>
    <w:p w:rsidR="00AE612D" w:rsidRDefault="00AE612D" w:rsidP="0091615A"/>
    <w:p w:rsidR="00AE612D" w:rsidRDefault="00AE612D" w:rsidP="0091615A"/>
    <w:p w:rsidR="006E5B72" w:rsidRDefault="00AE612D" w:rsidP="00AE612D">
      <w:pPr>
        <w:pBdr>
          <w:left w:val="single" w:sz="4" w:space="4" w:color="auto"/>
        </w:pBdr>
      </w:pPr>
      <w:r>
        <w:sym w:font="Wingdings" w:char="F0E8"/>
      </w:r>
      <w:r w:rsidRPr="00AE612D">
        <w:rPr>
          <w:b/>
        </w:rPr>
        <w:t xml:space="preserve"> </w:t>
      </w:r>
      <w:r w:rsidRPr="00C95966">
        <w:rPr>
          <w:b/>
        </w:rPr>
        <w:t>Sécurisation du dispositif relatif à la prime de transition énergétique</w:t>
      </w:r>
      <w:r>
        <w:t xml:space="preserve"> </w:t>
      </w:r>
      <w:r w:rsidR="0091615A">
        <w:t xml:space="preserve">    </w:t>
      </w:r>
    </w:p>
    <w:p w:rsidR="0091615A" w:rsidRDefault="0091615A" w:rsidP="00AE612D">
      <w:pPr>
        <w:pBdr>
          <w:left w:val="single" w:sz="4" w:space="4" w:color="auto"/>
        </w:pBdr>
      </w:pPr>
    </w:p>
    <w:p w:rsidR="00AE612D" w:rsidRDefault="00AE612D" w:rsidP="006F1A83">
      <w:pPr>
        <w:pBdr>
          <w:left w:val="single" w:sz="4" w:space="4" w:color="auto"/>
        </w:pBdr>
        <w:jc w:val="both"/>
      </w:pPr>
      <w:r>
        <w:t>Le présent décret vise à sécuriser les évolutions introduites par le décret n°2025-956 du 8 septembre 2025 modifiant le décret n°2020-26 du 14 janvier 2020 relatif à la prime de transition énergétique. Il se borne à reprendre à l’identique les dispositions du décret précité du 8 septembre 2025 avec l’ensemble des contreseings requis.</w:t>
      </w:r>
    </w:p>
    <w:p w:rsidR="00AE612D" w:rsidRDefault="00AE612D" w:rsidP="00AE612D">
      <w:pPr>
        <w:pBdr>
          <w:left w:val="single" w:sz="4" w:space="4" w:color="auto"/>
        </w:pBdr>
      </w:pPr>
    </w:p>
    <w:p w:rsidR="0091615A" w:rsidRPr="00AE612D" w:rsidRDefault="00DC4DD5" w:rsidP="00AE612D">
      <w:pPr>
        <w:pBdr>
          <w:left w:val="single" w:sz="4" w:space="4" w:color="auto"/>
        </w:pBdr>
        <w:jc w:val="both"/>
        <w:rPr>
          <w:i/>
          <w:color w:val="000000" w:themeColor="text1"/>
        </w:rPr>
      </w:pPr>
      <w:hyperlink r:id="rId32" w:history="1">
        <w:r w:rsidR="0091615A" w:rsidRPr="00AE612D">
          <w:rPr>
            <w:rStyle w:val="Lienhypertexte"/>
            <w:b/>
            <w:i/>
            <w:color w:val="000000" w:themeColor="text1"/>
          </w:rPr>
          <w:t>Décret n° 2026-516 du 12 juin 2026</w:t>
        </w:r>
        <w:r w:rsidR="0091615A" w:rsidRPr="00AE612D">
          <w:rPr>
            <w:rStyle w:val="Lienhypertexte"/>
            <w:i/>
            <w:color w:val="000000" w:themeColor="text1"/>
          </w:rPr>
          <w:t xml:space="preserve"> modifiant le décret n° 2020-26 du 14 janvier 2020 relatif à la prime de transition énergétique</w:t>
        </w:r>
        <w:r w:rsidR="00AA24F8" w:rsidRPr="00AE612D">
          <w:rPr>
            <w:rStyle w:val="Lienhypertexte"/>
            <w:i/>
            <w:color w:val="000000" w:themeColor="text1"/>
          </w:rPr>
          <w:t>.</w:t>
        </w:r>
      </w:hyperlink>
    </w:p>
    <w:p w:rsidR="00AA24F8" w:rsidRDefault="00AA24F8" w:rsidP="0091615A"/>
    <w:p w:rsidR="006F1A83" w:rsidRDefault="006F1A83" w:rsidP="0091615A"/>
    <w:p w:rsidR="00AA24F8" w:rsidRDefault="00AA24F8" w:rsidP="0091615A"/>
    <w:p w:rsidR="0091615A" w:rsidRDefault="00635734" w:rsidP="00635734">
      <w:pPr>
        <w:pBdr>
          <w:left w:val="single" w:sz="4" w:space="4" w:color="auto"/>
        </w:pBdr>
        <w:jc w:val="both"/>
      </w:pPr>
      <w:r>
        <w:sym w:font="Wingdings" w:char="F0E8"/>
      </w:r>
      <w:r>
        <w:t xml:space="preserve"> </w:t>
      </w:r>
      <w:r w:rsidRPr="00C95966">
        <w:rPr>
          <w:b/>
        </w:rPr>
        <w:t>Sécurisation du dispositif relatif à la prime de transition énergétique</w:t>
      </w:r>
      <w:r>
        <w:t xml:space="preserve">     </w:t>
      </w:r>
    </w:p>
    <w:p w:rsidR="00635734" w:rsidRDefault="00635734" w:rsidP="00635734">
      <w:pPr>
        <w:pBdr>
          <w:left w:val="single" w:sz="4" w:space="4" w:color="auto"/>
        </w:pBdr>
        <w:jc w:val="both"/>
      </w:pPr>
    </w:p>
    <w:p w:rsidR="00282469" w:rsidRDefault="00635734" w:rsidP="00635734">
      <w:pPr>
        <w:pBdr>
          <w:left w:val="single" w:sz="4" w:space="4" w:color="auto"/>
        </w:pBdr>
        <w:jc w:val="both"/>
      </w:pPr>
      <w:r>
        <w:lastRenderedPageBreak/>
        <w:t>L</w:t>
      </w:r>
      <w:r w:rsidR="00282469">
        <w:t>’arrêté vise à sécuriser les évolutions prévues par l’arrêté du 8 septembre 2025 modifiant l’arrêté du 14 janvier 2020 relatif à la prime de transition énergétique, en cohérence avec la décision n</w:t>
      </w:r>
      <w:r>
        <w:t>°</w:t>
      </w:r>
      <w:r w:rsidR="00282469">
        <w:t>501151 du 11 mars 2026 du Conseil d’Etat.</w:t>
      </w:r>
    </w:p>
    <w:p w:rsidR="00282469" w:rsidRDefault="00282469" w:rsidP="00635734">
      <w:pPr>
        <w:pBdr>
          <w:left w:val="single" w:sz="4" w:space="4" w:color="auto"/>
        </w:pBdr>
        <w:jc w:val="both"/>
      </w:pPr>
    </w:p>
    <w:p w:rsidR="0091615A" w:rsidRPr="00282469" w:rsidRDefault="00DC4DD5" w:rsidP="00635734">
      <w:pPr>
        <w:pBdr>
          <w:left w:val="single" w:sz="4" w:space="4" w:color="auto"/>
        </w:pBdr>
        <w:jc w:val="both"/>
        <w:rPr>
          <w:i/>
          <w:color w:val="000000" w:themeColor="text1"/>
        </w:rPr>
      </w:pPr>
      <w:hyperlink r:id="rId33" w:history="1">
        <w:r w:rsidR="0091615A" w:rsidRPr="00282469">
          <w:rPr>
            <w:rStyle w:val="Lienhypertexte"/>
            <w:b/>
            <w:i/>
            <w:color w:val="000000" w:themeColor="text1"/>
          </w:rPr>
          <w:t xml:space="preserve">Arrêté du 12 juin 2026 </w:t>
        </w:r>
        <w:r w:rsidR="0091615A" w:rsidRPr="00282469">
          <w:rPr>
            <w:rStyle w:val="Lienhypertexte"/>
            <w:i/>
            <w:color w:val="000000" w:themeColor="text1"/>
          </w:rPr>
          <w:t>modifiant l'arrêté du 14 janvier 2020 relatif à la prime de transition énergétique</w:t>
        </w:r>
        <w:r w:rsidR="00282469" w:rsidRPr="00282469">
          <w:rPr>
            <w:rStyle w:val="Lienhypertexte"/>
            <w:i/>
            <w:color w:val="000000" w:themeColor="text1"/>
          </w:rPr>
          <w:t>.</w:t>
        </w:r>
      </w:hyperlink>
    </w:p>
    <w:p w:rsidR="00282469" w:rsidRDefault="00282469" w:rsidP="0091615A"/>
    <w:p w:rsidR="00282469" w:rsidRDefault="00282469" w:rsidP="0091615A"/>
    <w:p w:rsidR="0091615A" w:rsidRDefault="0091615A" w:rsidP="0091615A"/>
    <w:p w:rsidR="00006F6D" w:rsidRPr="00006F6D" w:rsidRDefault="00006F6D" w:rsidP="00006F6D">
      <w:pPr>
        <w:pBdr>
          <w:left w:val="single" w:sz="4" w:space="4" w:color="auto"/>
        </w:pBdr>
        <w:jc w:val="both"/>
        <w:rPr>
          <w:b/>
        </w:rPr>
      </w:pPr>
      <w:r w:rsidRPr="00006F6D">
        <w:rPr>
          <w:b/>
        </w:rPr>
        <w:sym w:font="Wingdings" w:char="F0E8"/>
      </w:r>
      <w:r w:rsidRPr="00006F6D">
        <w:rPr>
          <w:b/>
        </w:rPr>
        <w:t xml:space="preserve"> Sécurisation du dispositif relatif à la prime de transition énergétique     </w:t>
      </w:r>
    </w:p>
    <w:p w:rsidR="00006F6D" w:rsidRDefault="00006F6D" w:rsidP="00006F6D">
      <w:pPr>
        <w:pBdr>
          <w:left w:val="single" w:sz="4" w:space="4" w:color="auto"/>
        </w:pBdr>
        <w:jc w:val="both"/>
      </w:pPr>
    </w:p>
    <w:p w:rsidR="00006F6D" w:rsidRDefault="00006F6D" w:rsidP="00006F6D">
      <w:pPr>
        <w:pBdr>
          <w:left w:val="single" w:sz="4" w:space="4" w:color="auto"/>
        </w:pBdr>
        <w:jc w:val="both"/>
      </w:pPr>
      <w:r>
        <w:t xml:space="preserve">Le présent arrêté vise à sécuriser les évolutions prévues par l’arrêté du 8 septembre 2025 modifiant l’arrêté du 17 novembre 2020 relatif aux caractéristiques techniques et modalités de réalisation des travaux et prestations dont les dépenses sont éligibles à la prime de transition énergétique et l’arrêté du 30 mars 2009 relatif aux conditions d’application de dispositions concernant les avances remboursables sans intérêt destinées au financement de travaux de rénovation afin d’améliorer la performance énergétique des logements anciens. </w:t>
      </w:r>
    </w:p>
    <w:p w:rsidR="00006F6D" w:rsidRDefault="00006F6D" w:rsidP="00006F6D">
      <w:pPr>
        <w:pBdr>
          <w:left w:val="single" w:sz="4" w:space="4" w:color="auto"/>
        </w:pBdr>
        <w:jc w:val="both"/>
      </w:pPr>
    </w:p>
    <w:p w:rsidR="00006F6D" w:rsidRDefault="00006F6D" w:rsidP="00006F6D">
      <w:pPr>
        <w:pBdr>
          <w:left w:val="single" w:sz="4" w:space="4" w:color="auto"/>
        </w:pBdr>
        <w:jc w:val="both"/>
      </w:pPr>
      <w:r>
        <w:t>Cet arrêté vise à reprendre les dispositions de l’arrêté du 8 septembre 2025 susmentionné avec l’ensemble des signatures requises, en cohérence avec la décision no 501151 du 11 mars 2026 du Conseil d’Etat.</w:t>
      </w:r>
    </w:p>
    <w:p w:rsidR="00006F6D" w:rsidRDefault="00006F6D" w:rsidP="00006F6D">
      <w:pPr>
        <w:pBdr>
          <w:left w:val="single" w:sz="4" w:space="4" w:color="auto"/>
        </w:pBdr>
      </w:pPr>
    </w:p>
    <w:p w:rsidR="0091615A" w:rsidRPr="00006F6D" w:rsidRDefault="00DC4DD5" w:rsidP="00006F6D">
      <w:pPr>
        <w:pBdr>
          <w:left w:val="single" w:sz="4" w:space="4" w:color="auto"/>
        </w:pBdr>
        <w:jc w:val="both"/>
        <w:rPr>
          <w:i/>
          <w:color w:val="000000" w:themeColor="text1"/>
        </w:rPr>
      </w:pPr>
      <w:hyperlink r:id="rId34" w:history="1">
        <w:r w:rsidR="0091615A" w:rsidRPr="00006F6D">
          <w:rPr>
            <w:rStyle w:val="Lienhypertexte"/>
            <w:b/>
            <w:i/>
            <w:color w:val="000000" w:themeColor="text1"/>
          </w:rPr>
          <w:t xml:space="preserve">Arrêté du 12 juin 2026 </w:t>
        </w:r>
        <w:r w:rsidR="0091615A" w:rsidRPr="00006F6D">
          <w:rPr>
            <w:rStyle w:val="Lienhypertexte"/>
            <w:i/>
            <w:color w:val="000000" w:themeColor="text1"/>
          </w:rPr>
          <w:t>modifiant l'arrêté du 17 novembre 2020 relatif aux caractéristiques techniques et modalités de réalisation des travaux et prestations dont les dépenses sont éligibles à la prime de transition énergétique et l'arrêté du 30 mars 2009 relatif aux conditions d'application de dispositions concernant les avances remboursables sans intérêt destinées au financement de travaux de rénovation afin d'améliorer la performance énergétique des logements anciens</w:t>
        </w:r>
        <w:r w:rsidR="00006F6D" w:rsidRPr="00006F6D">
          <w:rPr>
            <w:rStyle w:val="Lienhypertexte"/>
            <w:i/>
            <w:color w:val="000000" w:themeColor="text1"/>
          </w:rPr>
          <w:t>.</w:t>
        </w:r>
      </w:hyperlink>
    </w:p>
    <w:p w:rsidR="00006F6D" w:rsidRDefault="00006F6D" w:rsidP="0091615A"/>
    <w:p w:rsidR="00006F6D" w:rsidRDefault="00006F6D" w:rsidP="0091615A"/>
    <w:p w:rsidR="0091615A" w:rsidRPr="0091615A" w:rsidRDefault="0091615A" w:rsidP="0091615A"/>
    <w:p w:rsidR="00F07775" w:rsidRDefault="00D677F9" w:rsidP="00D677F9">
      <w:pPr>
        <w:pStyle w:val="Titre1"/>
      </w:pPr>
      <w:bookmarkStart w:id="14" w:name="_Toc235192802"/>
      <w:r>
        <w:t>Solaire photovoltaïque</w:t>
      </w:r>
      <w:bookmarkEnd w:id="14"/>
    </w:p>
    <w:p w:rsidR="00D677F9" w:rsidRDefault="00D677F9" w:rsidP="00D677F9"/>
    <w:p w:rsidR="00F56AF6" w:rsidRPr="002F246F" w:rsidRDefault="00F56AF6" w:rsidP="006F1A83">
      <w:pPr>
        <w:pBdr>
          <w:left w:val="single" w:sz="4" w:space="4" w:color="auto"/>
        </w:pBdr>
        <w:jc w:val="both"/>
        <w:rPr>
          <w:b/>
        </w:rPr>
      </w:pPr>
      <w:r w:rsidRPr="002F246F">
        <w:rPr>
          <w:b/>
        </w:rPr>
        <w:sym w:font="Wingdings" w:char="F0E8"/>
      </w:r>
      <w:r w:rsidRPr="002F246F">
        <w:rPr>
          <w:b/>
        </w:rPr>
        <w:t xml:space="preserve"> </w:t>
      </w:r>
      <w:r w:rsidR="00D46193" w:rsidRPr="002F246F">
        <w:rPr>
          <w:b/>
        </w:rPr>
        <w:t xml:space="preserve">Modification des conditions </w:t>
      </w:r>
      <w:r w:rsidR="002F246F" w:rsidRPr="002F246F">
        <w:rPr>
          <w:b/>
        </w:rPr>
        <w:t>d’achat de l’électricité produite par les installations utilisant l’énergie solaire photovoltaïque</w:t>
      </w:r>
    </w:p>
    <w:p w:rsidR="00F56AF6" w:rsidRDefault="00F56AF6" w:rsidP="006F1A83">
      <w:pPr>
        <w:pBdr>
          <w:left w:val="single" w:sz="4" w:space="4" w:color="auto"/>
        </w:pBdr>
        <w:jc w:val="both"/>
      </w:pPr>
    </w:p>
    <w:p w:rsidR="00D677F9" w:rsidRPr="00D677F9" w:rsidRDefault="00DC4DD5" w:rsidP="006F1A83">
      <w:pPr>
        <w:pStyle w:val="Textebrut"/>
        <w:pBdr>
          <w:left w:val="single" w:sz="4" w:space="4" w:color="auto"/>
        </w:pBdr>
        <w:jc w:val="both"/>
        <w:rPr>
          <w:i/>
        </w:rPr>
      </w:pPr>
      <w:hyperlink r:id="rId35" w:history="1">
        <w:r w:rsidR="00D677F9" w:rsidRPr="00D677F9">
          <w:rPr>
            <w:rStyle w:val="Lienhypertexte"/>
            <w:b/>
            <w:i/>
            <w:color w:val="auto"/>
          </w:rPr>
          <w:t>Arrêté du 1er juin 2026</w:t>
        </w:r>
        <w:r w:rsidR="00D677F9" w:rsidRPr="00D677F9">
          <w:rPr>
            <w:rStyle w:val="Lienhypertexte"/>
            <w:i/>
            <w:color w:val="auto"/>
          </w:rPr>
          <w:t xml:space="preserve"> modifiant l'arrêté du 6 octobre 2021 fixant les conditions d'achat de l'électricité produite par les installations implantées sur bâtiment, hangar ou ombrière utilisant l'énergie solaire photovoltaïque, d'une puissance crête installée inférieure ou égale à 500 kilowatts telles que visées au 3° de l'article D. 314-15 du code de l'énergie et situées en métropole continentale.</w:t>
        </w:r>
      </w:hyperlink>
    </w:p>
    <w:p w:rsidR="00D677F9" w:rsidRDefault="00D677F9" w:rsidP="00D677F9">
      <w:pPr>
        <w:pStyle w:val="Textebrut"/>
      </w:pPr>
    </w:p>
    <w:p w:rsidR="00D677F9" w:rsidRDefault="00D677F9" w:rsidP="00D677F9"/>
    <w:p w:rsidR="006F1A83" w:rsidRPr="00D677F9" w:rsidRDefault="006F1A83" w:rsidP="00D677F9"/>
    <w:p w:rsidR="00347591" w:rsidRDefault="00347591" w:rsidP="00347591">
      <w:pPr>
        <w:pStyle w:val="Titre1"/>
      </w:pPr>
      <w:bookmarkStart w:id="15" w:name="_Toc235192803"/>
      <w:r>
        <w:t>Transport</w:t>
      </w:r>
      <w:bookmarkEnd w:id="15"/>
    </w:p>
    <w:p w:rsidR="00286D24" w:rsidRDefault="00286D24" w:rsidP="00AB3812">
      <w:pPr>
        <w:pStyle w:val="Textebrut"/>
      </w:pPr>
    </w:p>
    <w:p w:rsidR="00EC48B7" w:rsidRPr="00EC48B7" w:rsidRDefault="00EC48B7" w:rsidP="00EC48B7">
      <w:pPr>
        <w:pStyle w:val="Textebrut"/>
        <w:pBdr>
          <w:left w:val="single" w:sz="4" w:space="4" w:color="auto"/>
        </w:pBdr>
        <w:jc w:val="both"/>
        <w:rPr>
          <w:b/>
          <w:color w:val="000000" w:themeColor="text1"/>
        </w:rPr>
      </w:pPr>
      <w:r w:rsidRPr="00EC48B7">
        <w:rPr>
          <w:b/>
          <w:color w:val="000000" w:themeColor="text1"/>
        </w:rPr>
        <w:sym w:font="Wingdings" w:char="F0E8"/>
      </w:r>
      <w:r w:rsidRPr="00EC48B7">
        <w:rPr>
          <w:b/>
          <w:color w:val="000000" w:themeColor="text1"/>
        </w:rPr>
        <w:t xml:space="preserve"> Liste des versions de voitures particulières électriques ayant atteint le score environnemental minimal conditionnant l’éligibilité à certaines aides</w:t>
      </w:r>
    </w:p>
    <w:p w:rsidR="00EC48B7" w:rsidRDefault="00EC48B7" w:rsidP="00EC48B7">
      <w:pPr>
        <w:pStyle w:val="Textebrut"/>
        <w:pBdr>
          <w:left w:val="single" w:sz="4" w:space="4" w:color="auto"/>
        </w:pBdr>
        <w:jc w:val="both"/>
        <w:rPr>
          <w:i/>
          <w:color w:val="000000" w:themeColor="text1"/>
        </w:rPr>
      </w:pPr>
    </w:p>
    <w:p w:rsidR="00B6528F" w:rsidRPr="00B6528F" w:rsidRDefault="00DC4DD5" w:rsidP="00EC48B7">
      <w:pPr>
        <w:pStyle w:val="Textebrut"/>
        <w:pBdr>
          <w:left w:val="single" w:sz="4" w:space="4" w:color="auto"/>
        </w:pBdr>
        <w:jc w:val="both"/>
        <w:rPr>
          <w:i/>
          <w:color w:val="000000" w:themeColor="text1"/>
        </w:rPr>
      </w:pPr>
      <w:hyperlink r:id="rId36" w:history="1">
        <w:r w:rsidR="00B6528F" w:rsidRPr="00B6528F">
          <w:rPr>
            <w:rStyle w:val="Lienhypertexte"/>
            <w:b/>
            <w:i/>
            <w:color w:val="000000" w:themeColor="text1"/>
          </w:rPr>
          <w:t xml:space="preserve">Arrêté du 17 juin 2026 </w:t>
        </w:r>
        <w:r w:rsidR="00B6528F" w:rsidRPr="00B6528F">
          <w:rPr>
            <w:rStyle w:val="Lienhypertexte"/>
            <w:i/>
            <w:color w:val="000000" w:themeColor="text1"/>
          </w:rPr>
          <w:t>modifiant l'arrêté du 14 décembre 2023 fixant la liste des versions de voitures particulières électriques ayant atteint le score environnemental minimal conditionnant l'éligibilité à certaines aides à l'achat ou à la location de véhicules peu polluants.</w:t>
        </w:r>
      </w:hyperlink>
    </w:p>
    <w:p w:rsidR="00B6528F" w:rsidRDefault="00B6528F" w:rsidP="00B6528F">
      <w:pPr>
        <w:pStyle w:val="Textebrut"/>
      </w:pPr>
    </w:p>
    <w:p w:rsidR="00B6528F" w:rsidRDefault="00B6528F" w:rsidP="00B6528F">
      <w:pPr>
        <w:pStyle w:val="Textebrut"/>
      </w:pPr>
    </w:p>
    <w:p w:rsidR="00730C0A" w:rsidRDefault="00730C0A" w:rsidP="00730C0A">
      <w:pPr>
        <w:pStyle w:val="Textebrut"/>
      </w:pPr>
    </w:p>
    <w:p w:rsidR="00206033" w:rsidRDefault="00545B82" w:rsidP="00545B82">
      <w:pPr>
        <w:pStyle w:val="Titre1"/>
      </w:pPr>
      <w:bookmarkStart w:id="16" w:name="_Toc235192804"/>
      <w:r>
        <w:t>TURPE</w:t>
      </w:r>
      <w:bookmarkEnd w:id="16"/>
    </w:p>
    <w:p w:rsidR="00545B82" w:rsidRDefault="00545B82" w:rsidP="00545B82"/>
    <w:p w:rsidR="00545B82" w:rsidRPr="00A37E33" w:rsidRDefault="00545B82" w:rsidP="006F1A83">
      <w:pPr>
        <w:pBdr>
          <w:left w:val="single" w:sz="4" w:space="4" w:color="auto"/>
        </w:pBdr>
        <w:jc w:val="both"/>
        <w:rPr>
          <w:b/>
        </w:rPr>
      </w:pPr>
      <w:r w:rsidRPr="00A37E33">
        <w:rPr>
          <w:b/>
        </w:rPr>
        <w:sym w:font="Wingdings" w:char="F0E8"/>
      </w:r>
      <w:r w:rsidRPr="00A37E33">
        <w:rPr>
          <w:b/>
        </w:rPr>
        <w:t xml:space="preserve"> </w:t>
      </w:r>
      <w:r w:rsidR="00A37E33" w:rsidRPr="00A37E33">
        <w:rPr>
          <w:b/>
        </w:rPr>
        <w:t>Evolution de la grille tarifaire du TURPE 7 HTB</w:t>
      </w:r>
    </w:p>
    <w:p w:rsidR="00DB17AA" w:rsidRDefault="00DB17AA" w:rsidP="006F1A83">
      <w:pPr>
        <w:pBdr>
          <w:left w:val="single" w:sz="4" w:space="4" w:color="auto"/>
        </w:pBdr>
        <w:jc w:val="both"/>
      </w:pPr>
    </w:p>
    <w:p w:rsidR="00DB17AA" w:rsidRDefault="00DB17AA" w:rsidP="006F1A83">
      <w:pPr>
        <w:pBdr>
          <w:left w:val="single" w:sz="4" w:space="4" w:color="auto"/>
        </w:pBdr>
        <w:jc w:val="both"/>
      </w:pPr>
      <w:r>
        <w:t>La présente délibération a pour objet de faire évoluer la grille tarifaire du TURPE 7 HTB au 1er août 2026. Le niveau moyen du TURPE 7 HTB augmente de 3,34 % au 1er août 2026, en application des formules d’évolution annuelle prévues par la délibération TURPE 7 HTB, résultant de :</w:t>
      </w:r>
      <w:r w:rsidR="00A37E33">
        <w:t xml:space="preserve">    […]</w:t>
      </w:r>
    </w:p>
    <w:p w:rsidR="00545B82" w:rsidRDefault="00545B82" w:rsidP="006F1A83">
      <w:pPr>
        <w:pBdr>
          <w:left w:val="single" w:sz="4" w:space="4" w:color="auto"/>
        </w:pBdr>
        <w:jc w:val="both"/>
      </w:pPr>
    </w:p>
    <w:p w:rsidR="00545B82" w:rsidRPr="00545B82" w:rsidRDefault="00DC4DD5" w:rsidP="006F1A83">
      <w:pPr>
        <w:pStyle w:val="Textebrut"/>
        <w:pBdr>
          <w:left w:val="single" w:sz="4" w:space="4" w:color="auto"/>
        </w:pBdr>
        <w:jc w:val="both"/>
        <w:rPr>
          <w:i/>
          <w:color w:val="000000" w:themeColor="text1"/>
        </w:rPr>
      </w:pPr>
      <w:hyperlink r:id="rId37" w:history="1">
        <w:r w:rsidR="00545B82" w:rsidRPr="00545B82">
          <w:rPr>
            <w:rStyle w:val="Lienhypertexte"/>
            <w:b/>
            <w:i/>
            <w:color w:val="000000" w:themeColor="text1"/>
          </w:rPr>
          <w:t>Délibération n° 2026-104 du 21 mai 2026</w:t>
        </w:r>
        <w:r w:rsidR="00545B82" w:rsidRPr="00545B82">
          <w:rPr>
            <w:rStyle w:val="Lienhypertexte"/>
            <w:i/>
            <w:color w:val="000000" w:themeColor="text1"/>
          </w:rPr>
          <w:t xml:space="preserve"> portant décision sur l'évolution au 1er août 2026 de la grille tarifaire des tarifs d'utilisation des réseaux publics d'électricité dans le domaine de tension HTB.</w:t>
        </w:r>
      </w:hyperlink>
    </w:p>
    <w:p w:rsidR="00545B82" w:rsidRDefault="00545B82" w:rsidP="00545B82">
      <w:pPr>
        <w:pStyle w:val="Textebrut"/>
      </w:pPr>
    </w:p>
    <w:p w:rsidR="00545B82" w:rsidRDefault="00545B82" w:rsidP="00545B82">
      <w:pPr>
        <w:pStyle w:val="Textebrut"/>
      </w:pPr>
    </w:p>
    <w:p w:rsidR="00E66A34" w:rsidRDefault="00E66A34" w:rsidP="00545B82">
      <w:pPr>
        <w:pStyle w:val="Textebrut"/>
      </w:pPr>
    </w:p>
    <w:p w:rsidR="00545B82" w:rsidRPr="00E66A34" w:rsidRDefault="00E66A34" w:rsidP="00E66A34">
      <w:pPr>
        <w:pStyle w:val="Textebrut"/>
        <w:pBdr>
          <w:left w:val="single" w:sz="4" w:space="4" w:color="auto"/>
        </w:pBdr>
        <w:rPr>
          <w:b/>
        </w:rPr>
      </w:pPr>
      <w:r w:rsidRPr="00E66A34">
        <w:rPr>
          <w:b/>
        </w:rPr>
        <w:sym w:font="Wingdings" w:char="F0E8"/>
      </w:r>
      <w:r w:rsidRPr="00E66A34">
        <w:rPr>
          <w:b/>
        </w:rPr>
        <w:t xml:space="preserve"> Evolution de la grille tarifaire du TURPE 7 HTA et BT</w:t>
      </w:r>
    </w:p>
    <w:p w:rsidR="00E66A34" w:rsidRDefault="00E66A34" w:rsidP="00E66A34">
      <w:pPr>
        <w:pStyle w:val="Textebrut"/>
        <w:pBdr>
          <w:left w:val="single" w:sz="4" w:space="4" w:color="auto"/>
        </w:pBdr>
      </w:pPr>
    </w:p>
    <w:p w:rsidR="00E66A34" w:rsidRDefault="00E66A34" w:rsidP="00E66A34">
      <w:pPr>
        <w:pStyle w:val="Textebrut"/>
        <w:pBdr>
          <w:left w:val="single" w:sz="4" w:space="4" w:color="auto"/>
        </w:pBdr>
        <w:jc w:val="both"/>
      </w:pPr>
      <w:r>
        <w:t>La présente délibération a pour objet de faire évoluer la grille tarifaire du TURPE 7 HTA-BT au 1er août 2026, en application des modalités de mise à jour annuelle prévues par la délibération du 13 mars 2025 susvisée.</w:t>
      </w:r>
    </w:p>
    <w:p w:rsidR="00E66A34" w:rsidRDefault="00E66A34" w:rsidP="00E66A34">
      <w:pPr>
        <w:pStyle w:val="Textebrut"/>
        <w:pBdr>
          <w:left w:val="single" w:sz="4" w:space="4" w:color="auto"/>
        </w:pBdr>
        <w:jc w:val="both"/>
      </w:pPr>
    </w:p>
    <w:p w:rsidR="00E66A34" w:rsidRDefault="00E66A34" w:rsidP="00E66A34">
      <w:pPr>
        <w:pStyle w:val="Textebrut"/>
        <w:pBdr>
          <w:left w:val="single" w:sz="4" w:space="4" w:color="auto"/>
        </w:pBdr>
        <w:jc w:val="both"/>
      </w:pPr>
      <w:r>
        <w:t>Cette évolution tarifaire résulte notamment de recettes tarifaires d’Enedis inférieures de – 231,6 M€ aux recettes tarifaires prévisionnelles, en raison principalement d’un effet climatique : l’année 2025 a en effet été plus chaude que prévu (– 1,9 TWh), ce qui a donné lieu à une moindre consommation des clients résidentiels BT ≤ 36 kVA (– 3,6 TWh). Cet effet n’a que partiellement été compensé par une consommation plus élevée que prévu pour certains segments de clients, à savoir les clients BT &gt; 36 kVA et les clients HTA (+ 1,7 TWh). Cela contribue à une augmentation du solde du compte de régularisation des charges et des produits (CRCP) à fin 2025.</w:t>
      </w:r>
    </w:p>
    <w:p w:rsidR="00E66A34" w:rsidRDefault="00E66A34" w:rsidP="00E66A34">
      <w:pPr>
        <w:pStyle w:val="Textebrut"/>
        <w:pBdr>
          <w:left w:val="single" w:sz="4" w:space="4" w:color="auto"/>
        </w:pBdr>
        <w:jc w:val="both"/>
      </w:pPr>
    </w:p>
    <w:p w:rsidR="00E66A34" w:rsidRDefault="00E66A34" w:rsidP="00E66A34">
      <w:pPr>
        <w:pStyle w:val="Textebrut"/>
        <w:pBdr>
          <w:left w:val="single" w:sz="4" w:space="4" w:color="auto"/>
        </w:pBdr>
        <w:jc w:val="both"/>
      </w:pPr>
      <w:r>
        <w:t>Ainsi, le tarif TURPE 7 HTA-BT d’Enedis évolue au 1er août 2026 de +3,04 % en application de la formule d’évolution suivante :   […]</w:t>
      </w:r>
    </w:p>
    <w:p w:rsidR="00E66A34" w:rsidRDefault="00E66A34" w:rsidP="00E66A34">
      <w:pPr>
        <w:pStyle w:val="Textebrut"/>
        <w:pBdr>
          <w:left w:val="single" w:sz="4" w:space="4" w:color="auto"/>
        </w:pBdr>
      </w:pPr>
    </w:p>
    <w:p w:rsidR="00E66A34" w:rsidRPr="00E66A34" w:rsidRDefault="00DC4DD5" w:rsidP="00E66A34">
      <w:pPr>
        <w:pBdr>
          <w:left w:val="single" w:sz="4" w:space="4" w:color="auto"/>
        </w:pBdr>
        <w:jc w:val="both"/>
        <w:rPr>
          <w:i/>
          <w:color w:val="000000" w:themeColor="text1"/>
        </w:rPr>
      </w:pPr>
      <w:hyperlink r:id="rId38" w:history="1">
        <w:r w:rsidR="00E66A34" w:rsidRPr="00E66A34">
          <w:rPr>
            <w:rStyle w:val="Lienhypertexte"/>
            <w:b/>
            <w:i/>
            <w:color w:val="000000" w:themeColor="text1"/>
          </w:rPr>
          <w:t>Délibération n° 2026-105 du 21 mai 2026</w:t>
        </w:r>
        <w:r w:rsidR="00E66A34" w:rsidRPr="00E66A34">
          <w:rPr>
            <w:rStyle w:val="Lienhypertexte"/>
            <w:i/>
            <w:color w:val="000000" w:themeColor="text1"/>
          </w:rPr>
          <w:t xml:space="preserve"> portant décision sur l'évolution au 1er août 2026 de la grille tarifaire des tarifs d'utilisation des réseaux publics d'électricité dans les domaines de tension HTA et BT et sur l'évolution du paramètre Rf.</w:t>
        </w:r>
      </w:hyperlink>
    </w:p>
    <w:p w:rsidR="00E66A34" w:rsidRDefault="00E66A34" w:rsidP="00E66A34"/>
    <w:p w:rsidR="00545B82" w:rsidRPr="00545B82" w:rsidRDefault="00545B82" w:rsidP="00545B82"/>
    <w:sectPr w:rsidR="00545B82" w:rsidRPr="00545B82">
      <w:footerReference w:type="defaul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DD5" w:rsidRDefault="00DC4DD5" w:rsidP="00D92460">
      <w:r>
        <w:separator/>
      </w:r>
    </w:p>
  </w:endnote>
  <w:endnote w:type="continuationSeparator" w:id="0">
    <w:p w:rsidR="00DC4DD5" w:rsidRDefault="00DC4DD5" w:rsidP="00D9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3491846"/>
      <w:docPartObj>
        <w:docPartGallery w:val="Page Numbers (Bottom of Page)"/>
        <w:docPartUnique/>
      </w:docPartObj>
    </w:sdtPr>
    <w:sdtEndPr/>
    <w:sdtContent>
      <w:p w:rsidR="00D92460" w:rsidRDefault="00D92460">
        <w:pPr>
          <w:pStyle w:val="Pieddepage"/>
          <w:jc w:val="right"/>
        </w:pPr>
        <w:r>
          <w:fldChar w:fldCharType="begin"/>
        </w:r>
        <w:r>
          <w:instrText>PAGE   \* MERGEFORMAT</w:instrText>
        </w:r>
        <w:r>
          <w:fldChar w:fldCharType="separate"/>
        </w:r>
        <w:r>
          <w:t>2</w:t>
        </w:r>
        <w:r>
          <w:fldChar w:fldCharType="end"/>
        </w:r>
      </w:p>
    </w:sdtContent>
  </w:sdt>
  <w:p w:rsidR="00D92460" w:rsidRDefault="00D924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DD5" w:rsidRDefault="00DC4DD5" w:rsidP="00D92460">
      <w:r>
        <w:separator/>
      </w:r>
    </w:p>
  </w:footnote>
  <w:footnote w:type="continuationSeparator" w:id="0">
    <w:p w:rsidR="00DC4DD5" w:rsidRDefault="00DC4DD5" w:rsidP="00D92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43662"/>
    <w:multiLevelType w:val="hybridMultilevel"/>
    <w:tmpl w:val="9B8A9D78"/>
    <w:lvl w:ilvl="0" w:tplc="36887A5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F8495E"/>
    <w:multiLevelType w:val="hybridMultilevel"/>
    <w:tmpl w:val="C9E4DC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1B6CF2"/>
    <w:multiLevelType w:val="hybridMultilevel"/>
    <w:tmpl w:val="B4964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3D468FD"/>
    <w:multiLevelType w:val="hybridMultilevel"/>
    <w:tmpl w:val="1C38E9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7D56FE"/>
    <w:multiLevelType w:val="hybridMultilevel"/>
    <w:tmpl w:val="23E43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F91F3D"/>
    <w:multiLevelType w:val="hybridMultilevel"/>
    <w:tmpl w:val="4662A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683F19"/>
    <w:multiLevelType w:val="hybridMultilevel"/>
    <w:tmpl w:val="C1C64024"/>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num w:numId="1">
    <w:abstractNumId w:val="4"/>
  </w:num>
  <w:num w:numId="2">
    <w:abstractNumId w:val="6"/>
  </w:num>
  <w:num w:numId="3">
    <w:abstractNumId w:val="0"/>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04"/>
    <w:rsid w:val="00006F6D"/>
    <w:rsid w:val="000114B8"/>
    <w:rsid w:val="00030DDB"/>
    <w:rsid w:val="00034699"/>
    <w:rsid w:val="00034FEA"/>
    <w:rsid w:val="0003562B"/>
    <w:rsid w:val="000421A9"/>
    <w:rsid w:val="00045C0D"/>
    <w:rsid w:val="000508E4"/>
    <w:rsid w:val="00050E61"/>
    <w:rsid w:val="0006248D"/>
    <w:rsid w:val="00072236"/>
    <w:rsid w:val="00073F6B"/>
    <w:rsid w:val="00077DC6"/>
    <w:rsid w:val="00081ACE"/>
    <w:rsid w:val="0008225C"/>
    <w:rsid w:val="00090AAB"/>
    <w:rsid w:val="000B1290"/>
    <w:rsid w:val="000B7764"/>
    <w:rsid w:val="000B7DE0"/>
    <w:rsid w:val="000D0BE1"/>
    <w:rsid w:val="000D5928"/>
    <w:rsid w:val="000D61C5"/>
    <w:rsid w:val="000E106E"/>
    <w:rsid w:val="000E3A76"/>
    <w:rsid w:val="000E6286"/>
    <w:rsid w:val="000F0F73"/>
    <w:rsid w:val="00103CF2"/>
    <w:rsid w:val="00105788"/>
    <w:rsid w:val="0010578C"/>
    <w:rsid w:val="00113B26"/>
    <w:rsid w:val="00114B69"/>
    <w:rsid w:val="0012040C"/>
    <w:rsid w:val="00123886"/>
    <w:rsid w:val="00124168"/>
    <w:rsid w:val="001303E3"/>
    <w:rsid w:val="00137481"/>
    <w:rsid w:val="0015167C"/>
    <w:rsid w:val="001560E5"/>
    <w:rsid w:val="00156DA4"/>
    <w:rsid w:val="00180540"/>
    <w:rsid w:val="0018306E"/>
    <w:rsid w:val="001A0211"/>
    <w:rsid w:val="001A3B44"/>
    <w:rsid w:val="001C43EF"/>
    <w:rsid w:val="001E2E01"/>
    <w:rsid w:val="001F1AEB"/>
    <w:rsid w:val="002034DB"/>
    <w:rsid w:val="00206033"/>
    <w:rsid w:val="00206CFF"/>
    <w:rsid w:val="00225435"/>
    <w:rsid w:val="00260921"/>
    <w:rsid w:val="002609E9"/>
    <w:rsid w:val="00262919"/>
    <w:rsid w:val="00274626"/>
    <w:rsid w:val="00282469"/>
    <w:rsid w:val="00286D24"/>
    <w:rsid w:val="00291138"/>
    <w:rsid w:val="002959F3"/>
    <w:rsid w:val="00296C4A"/>
    <w:rsid w:val="00297934"/>
    <w:rsid w:val="002A6584"/>
    <w:rsid w:val="002B2D22"/>
    <w:rsid w:val="002C6561"/>
    <w:rsid w:val="002D13E3"/>
    <w:rsid w:val="002E1B81"/>
    <w:rsid w:val="002E23C7"/>
    <w:rsid w:val="002E326B"/>
    <w:rsid w:val="002E5509"/>
    <w:rsid w:val="002E7BA9"/>
    <w:rsid w:val="002F246F"/>
    <w:rsid w:val="002F3015"/>
    <w:rsid w:val="002F76A3"/>
    <w:rsid w:val="00300AB0"/>
    <w:rsid w:val="00301420"/>
    <w:rsid w:val="00310393"/>
    <w:rsid w:val="0031157D"/>
    <w:rsid w:val="003163E6"/>
    <w:rsid w:val="003206BC"/>
    <w:rsid w:val="003266F6"/>
    <w:rsid w:val="0032730B"/>
    <w:rsid w:val="0033064E"/>
    <w:rsid w:val="0034400F"/>
    <w:rsid w:val="0034625F"/>
    <w:rsid w:val="00347591"/>
    <w:rsid w:val="0035131B"/>
    <w:rsid w:val="003533F9"/>
    <w:rsid w:val="003568F7"/>
    <w:rsid w:val="00370EF4"/>
    <w:rsid w:val="00371CF4"/>
    <w:rsid w:val="0038708F"/>
    <w:rsid w:val="00392040"/>
    <w:rsid w:val="0039532D"/>
    <w:rsid w:val="003A25DE"/>
    <w:rsid w:val="003A6F29"/>
    <w:rsid w:val="003B61AA"/>
    <w:rsid w:val="003C0047"/>
    <w:rsid w:val="003D19D4"/>
    <w:rsid w:val="003E57A9"/>
    <w:rsid w:val="003E6E14"/>
    <w:rsid w:val="003E7F35"/>
    <w:rsid w:val="003F68EE"/>
    <w:rsid w:val="003F69AD"/>
    <w:rsid w:val="004066E9"/>
    <w:rsid w:val="00411AB5"/>
    <w:rsid w:val="0041288A"/>
    <w:rsid w:val="00424F07"/>
    <w:rsid w:val="00435EC8"/>
    <w:rsid w:val="00437F2F"/>
    <w:rsid w:val="00453E7A"/>
    <w:rsid w:val="00454219"/>
    <w:rsid w:val="00455BD6"/>
    <w:rsid w:val="00457DE2"/>
    <w:rsid w:val="004668E0"/>
    <w:rsid w:val="00480288"/>
    <w:rsid w:val="00481309"/>
    <w:rsid w:val="004A2CCC"/>
    <w:rsid w:val="004B031C"/>
    <w:rsid w:val="004B5064"/>
    <w:rsid w:val="004B52CB"/>
    <w:rsid w:val="004B6792"/>
    <w:rsid w:val="004C269B"/>
    <w:rsid w:val="004D29A0"/>
    <w:rsid w:val="004D5A75"/>
    <w:rsid w:val="004F451F"/>
    <w:rsid w:val="00500DBC"/>
    <w:rsid w:val="0050365C"/>
    <w:rsid w:val="0051638C"/>
    <w:rsid w:val="00516589"/>
    <w:rsid w:val="0051788E"/>
    <w:rsid w:val="00530806"/>
    <w:rsid w:val="00541617"/>
    <w:rsid w:val="00545B82"/>
    <w:rsid w:val="005655EE"/>
    <w:rsid w:val="005727C1"/>
    <w:rsid w:val="00575129"/>
    <w:rsid w:val="00590C5A"/>
    <w:rsid w:val="00597FBD"/>
    <w:rsid w:val="005A00B8"/>
    <w:rsid w:val="005A4CFF"/>
    <w:rsid w:val="005B5C5F"/>
    <w:rsid w:val="005D18AC"/>
    <w:rsid w:val="005E2FB0"/>
    <w:rsid w:val="005E7ED0"/>
    <w:rsid w:val="005F6147"/>
    <w:rsid w:val="0060133B"/>
    <w:rsid w:val="006035EB"/>
    <w:rsid w:val="00607D71"/>
    <w:rsid w:val="00615302"/>
    <w:rsid w:val="00615956"/>
    <w:rsid w:val="006353BE"/>
    <w:rsid w:val="00635734"/>
    <w:rsid w:val="00642876"/>
    <w:rsid w:val="006442C3"/>
    <w:rsid w:val="00644658"/>
    <w:rsid w:val="00653AFD"/>
    <w:rsid w:val="0065702D"/>
    <w:rsid w:val="006678DA"/>
    <w:rsid w:val="00673ABD"/>
    <w:rsid w:val="0067563F"/>
    <w:rsid w:val="00675BDB"/>
    <w:rsid w:val="006921A2"/>
    <w:rsid w:val="00694831"/>
    <w:rsid w:val="006A1C2E"/>
    <w:rsid w:val="006A7873"/>
    <w:rsid w:val="006B497E"/>
    <w:rsid w:val="006C11D0"/>
    <w:rsid w:val="006C28FC"/>
    <w:rsid w:val="006C65A9"/>
    <w:rsid w:val="006C75B5"/>
    <w:rsid w:val="006E2F58"/>
    <w:rsid w:val="006E5B72"/>
    <w:rsid w:val="006F0B7F"/>
    <w:rsid w:val="006F1A83"/>
    <w:rsid w:val="006F5E7F"/>
    <w:rsid w:val="007034B0"/>
    <w:rsid w:val="00705ABC"/>
    <w:rsid w:val="00715697"/>
    <w:rsid w:val="00717478"/>
    <w:rsid w:val="00717692"/>
    <w:rsid w:val="00723262"/>
    <w:rsid w:val="00730C0A"/>
    <w:rsid w:val="00731C35"/>
    <w:rsid w:val="00734752"/>
    <w:rsid w:val="00736A33"/>
    <w:rsid w:val="007610CF"/>
    <w:rsid w:val="00762EF4"/>
    <w:rsid w:val="00776855"/>
    <w:rsid w:val="00793F5F"/>
    <w:rsid w:val="007A6590"/>
    <w:rsid w:val="007B3587"/>
    <w:rsid w:val="007B45FA"/>
    <w:rsid w:val="007B69D8"/>
    <w:rsid w:val="007B701A"/>
    <w:rsid w:val="007C563A"/>
    <w:rsid w:val="007D3F89"/>
    <w:rsid w:val="007E695A"/>
    <w:rsid w:val="007E7380"/>
    <w:rsid w:val="008044BB"/>
    <w:rsid w:val="0081174C"/>
    <w:rsid w:val="00824363"/>
    <w:rsid w:val="0082569B"/>
    <w:rsid w:val="008259EA"/>
    <w:rsid w:val="00825B44"/>
    <w:rsid w:val="00825F88"/>
    <w:rsid w:val="008300FA"/>
    <w:rsid w:val="00831ACC"/>
    <w:rsid w:val="00832C75"/>
    <w:rsid w:val="00837A80"/>
    <w:rsid w:val="00845A70"/>
    <w:rsid w:val="00866343"/>
    <w:rsid w:val="008938A2"/>
    <w:rsid w:val="00896AE7"/>
    <w:rsid w:val="008A0D83"/>
    <w:rsid w:val="008A1C63"/>
    <w:rsid w:val="008A2145"/>
    <w:rsid w:val="008B0666"/>
    <w:rsid w:val="008B6217"/>
    <w:rsid w:val="008B77B8"/>
    <w:rsid w:val="008C1373"/>
    <w:rsid w:val="008C67D9"/>
    <w:rsid w:val="008D134C"/>
    <w:rsid w:val="008E0FEF"/>
    <w:rsid w:val="008E179E"/>
    <w:rsid w:val="008E1A3B"/>
    <w:rsid w:val="008F1A2B"/>
    <w:rsid w:val="008F2EFB"/>
    <w:rsid w:val="008F30E9"/>
    <w:rsid w:val="008F5210"/>
    <w:rsid w:val="008F78E8"/>
    <w:rsid w:val="00906028"/>
    <w:rsid w:val="0091615A"/>
    <w:rsid w:val="00931773"/>
    <w:rsid w:val="00954731"/>
    <w:rsid w:val="00961C26"/>
    <w:rsid w:val="00963105"/>
    <w:rsid w:val="00964BD0"/>
    <w:rsid w:val="00965B05"/>
    <w:rsid w:val="0098358D"/>
    <w:rsid w:val="00993BDD"/>
    <w:rsid w:val="00996BB3"/>
    <w:rsid w:val="009B085D"/>
    <w:rsid w:val="009C28BC"/>
    <w:rsid w:val="009C28F4"/>
    <w:rsid w:val="009C37E8"/>
    <w:rsid w:val="009C4668"/>
    <w:rsid w:val="009D74B5"/>
    <w:rsid w:val="009F03E4"/>
    <w:rsid w:val="009F447D"/>
    <w:rsid w:val="009F4ED6"/>
    <w:rsid w:val="009F5BE6"/>
    <w:rsid w:val="00A02C58"/>
    <w:rsid w:val="00A02DC3"/>
    <w:rsid w:val="00A05488"/>
    <w:rsid w:val="00A114C5"/>
    <w:rsid w:val="00A14DB6"/>
    <w:rsid w:val="00A165BE"/>
    <w:rsid w:val="00A2504C"/>
    <w:rsid w:val="00A27679"/>
    <w:rsid w:val="00A3076B"/>
    <w:rsid w:val="00A34FB9"/>
    <w:rsid w:val="00A37E33"/>
    <w:rsid w:val="00A5598C"/>
    <w:rsid w:val="00A564CA"/>
    <w:rsid w:val="00A60C79"/>
    <w:rsid w:val="00A670E8"/>
    <w:rsid w:val="00A673F2"/>
    <w:rsid w:val="00A67E1F"/>
    <w:rsid w:val="00A71AE3"/>
    <w:rsid w:val="00A8077E"/>
    <w:rsid w:val="00A84207"/>
    <w:rsid w:val="00A85E13"/>
    <w:rsid w:val="00A948A6"/>
    <w:rsid w:val="00AA057A"/>
    <w:rsid w:val="00AA24F8"/>
    <w:rsid w:val="00AA3B2D"/>
    <w:rsid w:val="00AA6161"/>
    <w:rsid w:val="00AA77E4"/>
    <w:rsid w:val="00AB3812"/>
    <w:rsid w:val="00AB39E8"/>
    <w:rsid w:val="00AB6FA7"/>
    <w:rsid w:val="00AC1439"/>
    <w:rsid w:val="00AC492F"/>
    <w:rsid w:val="00AE4C4A"/>
    <w:rsid w:val="00AE612D"/>
    <w:rsid w:val="00B02917"/>
    <w:rsid w:val="00B11543"/>
    <w:rsid w:val="00B12CCD"/>
    <w:rsid w:val="00B27864"/>
    <w:rsid w:val="00B43FE4"/>
    <w:rsid w:val="00B464C5"/>
    <w:rsid w:val="00B46E94"/>
    <w:rsid w:val="00B47474"/>
    <w:rsid w:val="00B47686"/>
    <w:rsid w:val="00B506C9"/>
    <w:rsid w:val="00B565C0"/>
    <w:rsid w:val="00B6528F"/>
    <w:rsid w:val="00B772CD"/>
    <w:rsid w:val="00B90A8B"/>
    <w:rsid w:val="00B91B37"/>
    <w:rsid w:val="00B94446"/>
    <w:rsid w:val="00BA19A6"/>
    <w:rsid w:val="00BB6423"/>
    <w:rsid w:val="00BC627C"/>
    <w:rsid w:val="00BD09FD"/>
    <w:rsid w:val="00BF4A50"/>
    <w:rsid w:val="00C010F4"/>
    <w:rsid w:val="00C05BB7"/>
    <w:rsid w:val="00C155E0"/>
    <w:rsid w:val="00C157CB"/>
    <w:rsid w:val="00C179C1"/>
    <w:rsid w:val="00C22661"/>
    <w:rsid w:val="00C2386A"/>
    <w:rsid w:val="00C2454D"/>
    <w:rsid w:val="00C25958"/>
    <w:rsid w:val="00C372F7"/>
    <w:rsid w:val="00C375E9"/>
    <w:rsid w:val="00C437B0"/>
    <w:rsid w:val="00C44074"/>
    <w:rsid w:val="00C442EE"/>
    <w:rsid w:val="00C44F69"/>
    <w:rsid w:val="00C556A8"/>
    <w:rsid w:val="00C763B6"/>
    <w:rsid w:val="00C92B41"/>
    <w:rsid w:val="00C95966"/>
    <w:rsid w:val="00C962C0"/>
    <w:rsid w:val="00C96CAE"/>
    <w:rsid w:val="00CC1744"/>
    <w:rsid w:val="00CC49D3"/>
    <w:rsid w:val="00CC543E"/>
    <w:rsid w:val="00CE7C43"/>
    <w:rsid w:val="00CF70B7"/>
    <w:rsid w:val="00D00482"/>
    <w:rsid w:val="00D11C86"/>
    <w:rsid w:val="00D161F2"/>
    <w:rsid w:val="00D3085B"/>
    <w:rsid w:val="00D30903"/>
    <w:rsid w:val="00D4415A"/>
    <w:rsid w:val="00D44FDC"/>
    <w:rsid w:val="00D46193"/>
    <w:rsid w:val="00D46C0D"/>
    <w:rsid w:val="00D557AC"/>
    <w:rsid w:val="00D677F9"/>
    <w:rsid w:val="00D745E1"/>
    <w:rsid w:val="00D75952"/>
    <w:rsid w:val="00D8438E"/>
    <w:rsid w:val="00D87305"/>
    <w:rsid w:val="00D878FD"/>
    <w:rsid w:val="00D90B90"/>
    <w:rsid w:val="00D92460"/>
    <w:rsid w:val="00DA337D"/>
    <w:rsid w:val="00DA3CA3"/>
    <w:rsid w:val="00DA6A0A"/>
    <w:rsid w:val="00DB17AA"/>
    <w:rsid w:val="00DB1B10"/>
    <w:rsid w:val="00DB488D"/>
    <w:rsid w:val="00DB6477"/>
    <w:rsid w:val="00DB7AB2"/>
    <w:rsid w:val="00DC0BB1"/>
    <w:rsid w:val="00DC153A"/>
    <w:rsid w:val="00DC302A"/>
    <w:rsid w:val="00DC4DD5"/>
    <w:rsid w:val="00DD1675"/>
    <w:rsid w:val="00E008B1"/>
    <w:rsid w:val="00E1393A"/>
    <w:rsid w:val="00E178E4"/>
    <w:rsid w:val="00E17C92"/>
    <w:rsid w:val="00E2162E"/>
    <w:rsid w:val="00E23C7A"/>
    <w:rsid w:val="00E2775A"/>
    <w:rsid w:val="00E362F9"/>
    <w:rsid w:val="00E36C0D"/>
    <w:rsid w:val="00E4092A"/>
    <w:rsid w:val="00E46C2E"/>
    <w:rsid w:val="00E53CE0"/>
    <w:rsid w:val="00E57F8F"/>
    <w:rsid w:val="00E64C22"/>
    <w:rsid w:val="00E65C44"/>
    <w:rsid w:val="00E65D77"/>
    <w:rsid w:val="00E66934"/>
    <w:rsid w:val="00E66A34"/>
    <w:rsid w:val="00E67B50"/>
    <w:rsid w:val="00E705AE"/>
    <w:rsid w:val="00E7076D"/>
    <w:rsid w:val="00E71268"/>
    <w:rsid w:val="00E84A20"/>
    <w:rsid w:val="00E93D5C"/>
    <w:rsid w:val="00EA2731"/>
    <w:rsid w:val="00EB3410"/>
    <w:rsid w:val="00EB5104"/>
    <w:rsid w:val="00EB5D28"/>
    <w:rsid w:val="00EB61E4"/>
    <w:rsid w:val="00EC27F3"/>
    <w:rsid w:val="00EC48B7"/>
    <w:rsid w:val="00EC5257"/>
    <w:rsid w:val="00EE5D4B"/>
    <w:rsid w:val="00EE6DC5"/>
    <w:rsid w:val="00EF29B5"/>
    <w:rsid w:val="00EF5961"/>
    <w:rsid w:val="00F03606"/>
    <w:rsid w:val="00F03FF1"/>
    <w:rsid w:val="00F07775"/>
    <w:rsid w:val="00F122F6"/>
    <w:rsid w:val="00F144CA"/>
    <w:rsid w:val="00F15367"/>
    <w:rsid w:val="00F26406"/>
    <w:rsid w:val="00F31BFA"/>
    <w:rsid w:val="00F323DC"/>
    <w:rsid w:val="00F345BE"/>
    <w:rsid w:val="00F372F4"/>
    <w:rsid w:val="00F4029F"/>
    <w:rsid w:val="00F56AF6"/>
    <w:rsid w:val="00F605B2"/>
    <w:rsid w:val="00F64D9B"/>
    <w:rsid w:val="00F64FD4"/>
    <w:rsid w:val="00F66832"/>
    <w:rsid w:val="00F72934"/>
    <w:rsid w:val="00F80383"/>
    <w:rsid w:val="00F8081E"/>
    <w:rsid w:val="00F83B87"/>
    <w:rsid w:val="00F9761E"/>
    <w:rsid w:val="00FA6690"/>
    <w:rsid w:val="00FB6EF4"/>
    <w:rsid w:val="00FB6F59"/>
    <w:rsid w:val="00FB7C1D"/>
    <w:rsid w:val="00FE027A"/>
    <w:rsid w:val="00FE0E26"/>
    <w:rsid w:val="00FE2A7C"/>
    <w:rsid w:val="00FE44F3"/>
    <w:rsid w:val="00FE4A79"/>
    <w:rsid w:val="00FE620C"/>
    <w:rsid w:val="00FF004B"/>
    <w:rsid w:val="00FF1864"/>
    <w:rsid w:val="00FF25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D02EC"/>
  <w15:chartTrackingRefBased/>
  <w15:docId w15:val="{FB111CA6-0AA6-48FD-BC14-C00BBB36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104"/>
    <w:pPr>
      <w:spacing w:after="0" w:line="240" w:lineRule="auto"/>
    </w:pPr>
  </w:style>
  <w:style w:type="paragraph" w:styleId="Titre1">
    <w:name w:val="heading 1"/>
    <w:basedOn w:val="Normal"/>
    <w:next w:val="Normal"/>
    <w:link w:val="Titre1Car"/>
    <w:uiPriority w:val="9"/>
    <w:qFormat/>
    <w:rsid w:val="007C563A"/>
    <w:pPr>
      <w:keepNext/>
      <w:keepLines/>
      <w:spacing w:before="240"/>
      <w:jc w:val="both"/>
      <w:outlineLvl w:val="0"/>
    </w:pPr>
    <w:rPr>
      <w:rFonts w:ascii="Calibri" w:eastAsiaTheme="majorEastAsia" w:hAnsi="Calibri" w:cstheme="majorBidi"/>
      <w:b/>
      <w:i/>
      <w:color w:val="0070C0"/>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B5104"/>
    <w:rPr>
      <w:color w:val="0563C1" w:themeColor="hyperlink"/>
      <w:u w:val="single"/>
    </w:rPr>
  </w:style>
  <w:style w:type="paragraph" w:styleId="Textebrut">
    <w:name w:val="Plain Text"/>
    <w:basedOn w:val="Normal"/>
    <w:link w:val="TextebrutCar"/>
    <w:uiPriority w:val="99"/>
    <w:unhideWhenUsed/>
    <w:rsid w:val="00EB5104"/>
    <w:rPr>
      <w:rFonts w:ascii="Calibri" w:hAnsi="Calibri"/>
      <w:szCs w:val="21"/>
    </w:rPr>
  </w:style>
  <w:style w:type="character" w:customStyle="1" w:styleId="TextebrutCar">
    <w:name w:val="Texte brut Car"/>
    <w:basedOn w:val="Policepardfaut"/>
    <w:link w:val="Textebrut"/>
    <w:uiPriority w:val="99"/>
    <w:rsid w:val="00EB5104"/>
    <w:rPr>
      <w:rFonts w:ascii="Calibri" w:hAnsi="Calibri"/>
      <w:szCs w:val="21"/>
    </w:rPr>
  </w:style>
  <w:style w:type="character" w:styleId="Mentionnonrsolue">
    <w:name w:val="Unresolved Mention"/>
    <w:basedOn w:val="Policepardfaut"/>
    <w:uiPriority w:val="99"/>
    <w:semiHidden/>
    <w:unhideWhenUsed/>
    <w:rsid w:val="00906028"/>
    <w:rPr>
      <w:color w:val="605E5C"/>
      <w:shd w:val="clear" w:color="auto" w:fill="E1DFDD"/>
    </w:rPr>
  </w:style>
  <w:style w:type="character" w:styleId="Lienhypertextesuivivisit">
    <w:name w:val="FollowedHyperlink"/>
    <w:basedOn w:val="Policepardfaut"/>
    <w:uiPriority w:val="99"/>
    <w:semiHidden/>
    <w:unhideWhenUsed/>
    <w:rsid w:val="0006248D"/>
    <w:rPr>
      <w:color w:val="954F72" w:themeColor="followedHyperlink"/>
      <w:u w:val="single"/>
    </w:rPr>
  </w:style>
  <w:style w:type="paragraph" w:styleId="En-tte">
    <w:name w:val="header"/>
    <w:basedOn w:val="Normal"/>
    <w:link w:val="En-tteCar"/>
    <w:uiPriority w:val="99"/>
    <w:unhideWhenUsed/>
    <w:rsid w:val="00D92460"/>
    <w:pPr>
      <w:tabs>
        <w:tab w:val="center" w:pos="4536"/>
        <w:tab w:val="right" w:pos="9072"/>
      </w:tabs>
    </w:pPr>
  </w:style>
  <w:style w:type="character" w:customStyle="1" w:styleId="En-tteCar">
    <w:name w:val="En-tête Car"/>
    <w:basedOn w:val="Policepardfaut"/>
    <w:link w:val="En-tte"/>
    <w:uiPriority w:val="99"/>
    <w:rsid w:val="00D92460"/>
  </w:style>
  <w:style w:type="paragraph" w:styleId="Pieddepage">
    <w:name w:val="footer"/>
    <w:basedOn w:val="Normal"/>
    <w:link w:val="PieddepageCar"/>
    <w:uiPriority w:val="99"/>
    <w:unhideWhenUsed/>
    <w:rsid w:val="00D92460"/>
    <w:pPr>
      <w:tabs>
        <w:tab w:val="center" w:pos="4536"/>
        <w:tab w:val="right" w:pos="9072"/>
      </w:tabs>
    </w:pPr>
  </w:style>
  <w:style w:type="character" w:customStyle="1" w:styleId="PieddepageCar">
    <w:name w:val="Pied de page Car"/>
    <w:basedOn w:val="Policepardfaut"/>
    <w:link w:val="Pieddepage"/>
    <w:uiPriority w:val="99"/>
    <w:rsid w:val="00D92460"/>
  </w:style>
  <w:style w:type="character" w:customStyle="1" w:styleId="Titre1Car">
    <w:name w:val="Titre 1 Car"/>
    <w:basedOn w:val="Policepardfaut"/>
    <w:link w:val="Titre1"/>
    <w:uiPriority w:val="9"/>
    <w:rsid w:val="007C563A"/>
    <w:rPr>
      <w:rFonts w:ascii="Calibri" w:eastAsiaTheme="majorEastAsia" w:hAnsi="Calibri" w:cstheme="majorBidi"/>
      <w:b/>
      <w:i/>
      <w:color w:val="0070C0"/>
      <w:sz w:val="28"/>
      <w:szCs w:val="32"/>
    </w:rPr>
  </w:style>
  <w:style w:type="paragraph" w:styleId="En-ttedetabledesmatires">
    <w:name w:val="TOC Heading"/>
    <w:basedOn w:val="Titre1"/>
    <w:next w:val="Normal"/>
    <w:uiPriority w:val="39"/>
    <w:unhideWhenUsed/>
    <w:qFormat/>
    <w:rsid w:val="00481309"/>
    <w:pPr>
      <w:spacing w:line="259" w:lineRule="auto"/>
      <w:outlineLvl w:val="9"/>
    </w:pPr>
    <w:rPr>
      <w:rFonts w:asciiTheme="majorHAnsi" w:hAnsiTheme="majorHAnsi"/>
      <w:b w:val="0"/>
      <w:i w:val="0"/>
      <w:color w:val="2F5496" w:themeColor="accent1" w:themeShade="BF"/>
      <w:sz w:val="32"/>
      <w:lang w:eastAsia="fr-FR"/>
    </w:rPr>
  </w:style>
  <w:style w:type="paragraph" w:styleId="TM1">
    <w:name w:val="toc 1"/>
    <w:basedOn w:val="Normal"/>
    <w:next w:val="Normal"/>
    <w:autoRedefine/>
    <w:uiPriority w:val="39"/>
    <w:unhideWhenUsed/>
    <w:rsid w:val="00481309"/>
    <w:pPr>
      <w:spacing w:after="100"/>
    </w:pPr>
  </w:style>
  <w:style w:type="paragraph" w:styleId="Paragraphedeliste">
    <w:name w:val="List Paragraph"/>
    <w:basedOn w:val="Normal"/>
    <w:uiPriority w:val="34"/>
    <w:qFormat/>
    <w:rsid w:val="007C5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6375">
      <w:bodyDiv w:val="1"/>
      <w:marLeft w:val="0"/>
      <w:marRight w:val="0"/>
      <w:marTop w:val="0"/>
      <w:marBottom w:val="0"/>
      <w:divBdr>
        <w:top w:val="none" w:sz="0" w:space="0" w:color="auto"/>
        <w:left w:val="none" w:sz="0" w:space="0" w:color="auto"/>
        <w:bottom w:val="none" w:sz="0" w:space="0" w:color="auto"/>
        <w:right w:val="none" w:sz="0" w:space="0" w:color="auto"/>
      </w:divBdr>
    </w:div>
    <w:div w:id="50035809">
      <w:bodyDiv w:val="1"/>
      <w:marLeft w:val="0"/>
      <w:marRight w:val="0"/>
      <w:marTop w:val="0"/>
      <w:marBottom w:val="0"/>
      <w:divBdr>
        <w:top w:val="none" w:sz="0" w:space="0" w:color="auto"/>
        <w:left w:val="none" w:sz="0" w:space="0" w:color="auto"/>
        <w:bottom w:val="none" w:sz="0" w:space="0" w:color="auto"/>
        <w:right w:val="none" w:sz="0" w:space="0" w:color="auto"/>
      </w:divBdr>
    </w:div>
    <w:div w:id="55082509">
      <w:bodyDiv w:val="1"/>
      <w:marLeft w:val="0"/>
      <w:marRight w:val="0"/>
      <w:marTop w:val="0"/>
      <w:marBottom w:val="0"/>
      <w:divBdr>
        <w:top w:val="none" w:sz="0" w:space="0" w:color="auto"/>
        <w:left w:val="none" w:sz="0" w:space="0" w:color="auto"/>
        <w:bottom w:val="none" w:sz="0" w:space="0" w:color="auto"/>
        <w:right w:val="none" w:sz="0" w:space="0" w:color="auto"/>
      </w:divBdr>
    </w:div>
    <w:div w:id="96826842">
      <w:bodyDiv w:val="1"/>
      <w:marLeft w:val="0"/>
      <w:marRight w:val="0"/>
      <w:marTop w:val="0"/>
      <w:marBottom w:val="0"/>
      <w:divBdr>
        <w:top w:val="none" w:sz="0" w:space="0" w:color="auto"/>
        <w:left w:val="none" w:sz="0" w:space="0" w:color="auto"/>
        <w:bottom w:val="none" w:sz="0" w:space="0" w:color="auto"/>
        <w:right w:val="none" w:sz="0" w:space="0" w:color="auto"/>
      </w:divBdr>
    </w:div>
    <w:div w:id="136731777">
      <w:bodyDiv w:val="1"/>
      <w:marLeft w:val="0"/>
      <w:marRight w:val="0"/>
      <w:marTop w:val="0"/>
      <w:marBottom w:val="0"/>
      <w:divBdr>
        <w:top w:val="none" w:sz="0" w:space="0" w:color="auto"/>
        <w:left w:val="none" w:sz="0" w:space="0" w:color="auto"/>
        <w:bottom w:val="none" w:sz="0" w:space="0" w:color="auto"/>
        <w:right w:val="none" w:sz="0" w:space="0" w:color="auto"/>
      </w:divBdr>
    </w:div>
    <w:div w:id="137888414">
      <w:bodyDiv w:val="1"/>
      <w:marLeft w:val="0"/>
      <w:marRight w:val="0"/>
      <w:marTop w:val="0"/>
      <w:marBottom w:val="0"/>
      <w:divBdr>
        <w:top w:val="none" w:sz="0" w:space="0" w:color="auto"/>
        <w:left w:val="none" w:sz="0" w:space="0" w:color="auto"/>
        <w:bottom w:val="none" w:sz="0" w:space="0" w:color="auto"/>
        <w:right w:val="none" w:sz="0" w:space="0" w:color="auto"/>
      </w:divBdr>
    </w:div>
    <w:div w:id="188491024">
      <w:bodyDiv w:val="1"/>
      <w:marLeft w:val="0"/>
      <w:marRight w:val="0"/>
      <w:marTop w:val="0"/>
      <w:marBottom w:val="0"/>
      <w:divBdr>
        <w:top w:val="none" w:sz="0" w:space="0" w:color="auto"/>
        <w:left w:val="none" w:sz="0" w:space="0" w:color="auto"/>
        <w:bottom w:val="none" w:sz="0" w:space="0" w:color="auto"/>
        <w:right w:val="none" w:sz="0" w:space="0" w:color="auto"/>
      </w:divBdr>
    </w:div>
    <w:div w:id="191696419">
      <w:bodyDiv w:val="1"/>
      <w:marLeft w:val="0"/>
      <w:marRight w:val="0"/>
      <w:marTop w:val="0"/>
      <w:marBottom w:val="0"/>
      <w:divBdr>
        <w:top w:val="none" w:sz="0" w:space="0" w:color="auto"/>
        <w:left w:val="none" w:sz="0" w:space="0" w:color="auto"/>
        <w:bottom w:val="none" w:sz="0" w:space="0" w:color="auto"/>
        <w:right w:val="none" w:sz="0" w:space="0" w:color="auto"/>
      </w:divBdr>
    </w:div>
    <w:div w:id="192231327">
      <w:bodyDiv w:val="1"/>
      <w:marLeft w:val="0"/>
      <w:marRight w:val="0"/>
      <w:marTop w:val="0"/>
      <w:marBottom w:val="0"/>
      <w:divBdr>
        <w:top w:val="none" w:sz="0" w:space="0" w:color="auto"/>
        <w:left w:val="none" w:sz="0" w:space="0" w:color="auto"/>
        <w:bottom w:val="none" w:sz="0" w:space="0" w:color="auto"/>
        <w:right w:val="none" w:sz="0" w:space="0" w:color="auto"/>
      </w:divBdr>
    </w:div>
    <w:div w:id="215355517">
      <w:bodyDiv w:val="1"/>
      <w:marLeft w:val="0"/>
      <w:marRight w:val="0"/>
      <w:marTop w:val="0"/>
      <w:marBottom w:val="0"/>
      <w:divBdr>
        <w:top w:val="none" w:sz="0" w:space="0" w:color="auto"/>
        <w:left w:val="none" w:sz="0" w:space="0" w:color="auto"/>
        <w:bottom w:val="none" w:sz="0" w:space="0" w:color="auto"/>
        <w:right w:val="none" w:sz="0" w:space="0" w:color="auto"/>
      </w:divBdr>
    </w:div>
    <w:div w:id="221723127">
      <w:bodyDiv w:val="1"/>
      <w:marLeft w:val="0"/>
      <w:marRight w:val="0"/>
      <w:marTop w:val="0"/>
      <w:marBottom w:val="0"/>
      <w:divBdr>
        <w:top w:val="none" w:sz="0" w:space="0" w:color="auto"/>
        <w:left w:val="none" w:sz="0" w:space="0" w:color="auto"/>
        <w:bottom w:val="none" w:sz="0" w:space="0" w:color="auto"/>
        <w:right w:val="none" w:sz="0" w:space="0" w:color="auto"/>
      </w:divBdr>
    </w:div>
    <w:div w:id="227545188">
      <w:bodyDiv w:val="1"/>
      <w:marLeft w:val="0"/>
      <w:marRight w:val="0"/>
      <w:marTop w:val="0"/>
      <w:marBottom w:val="0"/>
      <w:divBdr>
        <w:top w:val="none" w:sz="0" w:space="0" w:color="auto"/>
        <w:left w:val="none" w:sz="0" w:space="0" w:color="auto"/>
        <w:bottom w:val="none" w:sz="0" w:space="0" w:color="auto"/>
        <w:right w:val="none" w:sz="0" w:space="0" w:color="auto"/>
      </w:divBdr>
    </w:div>
    <w:div w:id="270550212">
      <w:bodyDiv w:val="1"/>
      <w:marLeft w:val="0"/>
      <w:marRight w:val="0"/>
      <w:marTop w:val="0"/>
      <w:marBottom w:val="0"/>
      <w:divBdr>
        <w:top w:val="none" w:sz="0" w:space="0" w:color="auto"/>
        <w:left w:val="none" w:sz="0" w:space="0" w:color="auto"/>
        <w:bottom w:val="none" w:sz="0" w:space="0" w:color="auto"/>
        <w:right w:val="none" w:sz="0" w:space="0" w:color="auto"/>
      </w:divBdr>
    </w:div>
    <w:div w:id="279146365">
      <w:bodyDiv w:val="1"/>
      <w:marLeft w:val="0"/>
      <w:marRight w:val="0"/>
      <w:marTop w:val="0"/>
      <w:marBottom w:val="0"/>
      <w:divBdr>
        <w:top w:val="none" w:sz="0" w:space="0" w:color="auto"/>
        <w:left w:val="none" w:sz="0" w:space="0" w:color="auto"/>
        <w:bottom w:val="none" w:sz="0" w:space="0" w:color="auto"/>
        <w:right w:val="none" w:sz="0" w:space="0" w:color="auto"/>
      </w:divBdr>
    </w:div>
    <w:div w:id="279536783">
      <w:bodyDiv w:val="1"/>
      <w:marLeft w:val="0"/>
      <w:marRight w:val="0"/>
      <w:marTop w:val="0"/>
      <w:marBottom w:val="0"/>
      <w:divBdr>
        <w:top w:val="none" w:sz="0" w:space="0" w:color="auto"/>
        <w:left w:val="none" w:sz="0" w:space="0" w:color="auto"/>
        <w:bottom w:val="none" w:sz="0" w:space="0" w:color="auto"/>
        <w:right w:val="none" w:sz="0" w:space="0" w:color="auto"/>
      </w:divBdr>
    </w:div>
    <w:div w:id="281620162">
      <w:bodyDiv w:val="1"/>
      <w:marLeft w:val="0"/>
      <w:marRight w:val="0"/>
      <w:marTop w:val="0"/>
      <w:marBottom w:val="0"/>
      <w:divBdr>
        <w:top w:val="none" w:sz="0" w:space="0" w:color="auto"/>
        <w:left w:val="none" w:sz="0" w:space="0" w:color="auto"/>
        <w:bottom w:val="none" w:sz="0" w:space="0" w:color="auto"/>
        <w:right w:val="none" w:sz="0" w:space="0" w:color="auto"/>
      </w:divBdr>
    </w:div>
    <w:div w:id="287592740">
      <w:bodyDiv w:val="1"/>
      <w:marLeft w:val="0"/>
      <w:marRight w:val="0"/>
      <w:marTop w:val="0"/>
      <w:marBottom w:val="0"/>
      <w:divBdr>
        <w:top w:val="none" w:sz="0" w:space="0" w:color="auto"/>
        <w:left w:val="none" w:sz="0" w:space="0" w:color="auto"/>
        <w:bottom w:val="none" w:sz="0" w:space="0" w:color="auto"/>
        <w:right w:val="none" w:sz="0" w:space="0" w:color="auto"/>
      </w:divBdr>
    </w:div>
    <w:div w:id="288516030">
      <w:bodyDiv w:val="1"/>
      <w:marLeft w:val="0"/>
      <w:marRight w:val="0"/>
      <w:marTop w:val="0"/>
      <w:marBottom w:val="0"/>
      <w:divBdr>
        <w:top w:val="none" w:sz="0" w:space="0" w:color="auto"/>
        <w:left w:val="none" w:sz="0" w:space="0" w:color="auto"/>
        <w:bottom w:val="none" w:sz="0" w:space="0" w:color="auto"/>
        <w:right w:val="none" w:sz="0" w:space="0" w:color="auto"/>
      </w:divBdr>
    </w:div>
    <w:div w:id="308756520">
      <w:bodyDiv w:val="1"/>
      <w:marLeft w:val="0"/>
      <w:marRight w:val="0"/>
      <w:marTop w:val="0"/>
      <w:marBottom w:val="0"/>
      <w:divBdr>
        <w:top w:val="none" w:sz="0" w:space="0" w:color="auto"/>
        <w:left w:val="none" w:sz="0" w:space="0" w:color="auto"/>
        <w:bottom w:val="none" w:sz="0" w:space="0" w:color="auto"/>
        <w:right w:val="none" w:sz="0" w:space="0" w:color="auto"/>
      </w:divBdr>
    </w:div>
    <w:div w:id="313490775">
      <w:bodyDiv w:val="1"/>
      <w:marLeft w:val="0"/>
      <w:marRight w:val="0"/>
      <w:marTop w:val="0"/>
      <w:marBottom w:val="0"/>
      <w:divBdr>
        <w:top w:val="none" w:sz="0" w:space="0" w:color="auto"/>
        <w:left w:val="none" w:sz="0" w:space="0" w:color="auto"/>
        <w:bottom w:val="none" w:sz="0" w:space="0" w:color="auto"/>
        <w:right w:val="none" w:sz="0" w:space="0" w:color="auto"/>
      </w:divBdr>
    </w:div>
    <w:div w:id="313684411">
      <w:bodyDiv w:val="1"/>
      <w:marLeft w:val="0"/>
      <w:marRight w:val="0"/>
      <w:marTop w:val="0"/>
      <w:marBottom w:val="0"/>
      <w:divBdr>
        <w:top w:val="none" w:sz="0" w:space="0" w:color="auto"/>
        <w:left w:val="none" w:sz="0" w:space="0" w:color="auto"/>
        <w:bottom w:val="none" w:sz="0" w:space="0" w:color="auto"/>
        <w:right w:val="none" w:sz="0" w:space="0" w:color="auto"/>
      </w:divBdr>
    </w:div>
    <w:div w:id="322053107">
      <w:bodyDiv w:val="1"/>
      <w:marLeft w:val="0"/>
      <w:marRight w:val="0"/>
      <w:marTop w:val="0"/>
      <w:marBottom w:val="0"/>
      <w:divBdr>
        <w:top w:val="none" w:sz="0" w:space="0" w:color="auto"/>
        <w:left w:val="none" w:sz="0" w:space="0" w:color="auto"/>
        <w:bottom w:val="none" w:sz="0" w:space="0" w:color="auto"/>
        <w:right w:val="none" w:sz="0" w:space="0" w:color="auto"/>
      </w:divBdr>
    </w:div>
    <w:div w:id="323822651">
      <w:bodyDiv w:val="1"/>
      <w:marLeft w:val="0"/>
      <w:marRight w:val="0"/>
      <w:marTop w:val="0"/>
      <w:marBottom w:val="0"/>
      <w:divBdr>
        <w:top w:val="none" w:sz="0" w:space="0" w:color="auto"/>
        <w:left w:val="none" w:sz="0" w:space="0" w:color="auto"/>
        <w:bottom w:val="none" w:sz="0" w:space="0" w:color="auto"/>
        <w:right w:val="none" w:sz="0" w:space="0" w:color="auto"/>
      </w:divBdr>
    </w:div>
    <w:div w:id="378093179">
      <w:bodyDiv w:val="1"/>
      <w:marLeft w:val="0"/>
      <w:marRight w:val="0"/>
      <w:marTop w:val="0"/>
      <w:marBottom w:val="0"/>
      <w:divBdr>
        <w:top w:val="none" w:sz="0" w:space="0" w:color="auto"/>
        <w:left w:val="none" w:sz="0" w:space="0" w:color="auto"/>
        <w:bottom w:val="none" w:sz="0" w:space="0" w:color="auto"/>
        <w:right w:val="none" w:sz="0" w:space="0" w:color="auto"/>
      </w:divBdr>
    </w:div>
    <w:div w:id="379670333">
      <w:bodyDiv w:val="1"/>
      <w:marLeft w:val="0"/>
      <w:marRight w:val="0"/>
      <w:marTop w:val="0"/>
      <w:marBottom w:val="0"/>
      <w:divBdr>
        <w:top w:val="none" w:sz="0" w:space="0" w:color="auto"/>
        <w:left w:val="none" w:sz="0" w:space="0" w:color="auto"/>
        <w:bottom w:val="none" w:sz="0" w:space="0" w:color="auto"/>
        <w:right w:val="none" w:sz="0" w:space="0" w:color="auto"/>
      </w:divBdr>
    </w:div>
    <w:div w:id="385683838">
      <w:bodyDiv w:val="1"/>
      <w:marLeft w:val="0"/>
      <w:marRight w:val="0"/>
      <w:marTop w:val="0"/>
      <w:marBottom w:val="0"/>
      <w:divBdr>
        <w:top w:val="none" w:sz="0" w:space="0" w:color="auto"/>
        <w:left w:val="none" w:sz="0" w:space="0" w:color="auto"/>
        <w:bottom w:val="none" w:sz="0" w:space="0" w:color="auto"/>
        <w:right w:val="none" w:sz="0" w:space="0" w:color="auto"/>
      </w:divBdr>
    </w:div>
    <w:div w:id="405225511">
      <w:bodyDiv w:val="1"/>
      <w:marLeft w:val="0"/>
      <w:marRight w:val="0"/>
      <w:marTop w:val="0"/>
      <w:marBottom w:val="0"/>
      <w:divBdr>
        <w:top w:val="none" w:sz="0" w:space="0" w:color="auto"/>
        <w:left w:val="none" w:sz="0" w:space="0" w:color="auto"/>
        <w:bottom w:val="none" w:sz="0" w:space="0" w:color="auto"/>
        <w:right w:val="none" w:sz="0" w:space="0" w:color="auto"/>
      </w:divBdr>
    </w:div>
    <w:div w:id="412165251">
      <w:bodyDiv w:val="1"/>
      <w:marLeft w:val="0"/>
      <w:marRight w:val="0"/>
      <w:marTop w:val="0"/>
      <w:marBottom w:val="0"/>
      <w:divBdr>
        <w:top w:val="none" w:sz="0" w:space="0" w:color="auto"/>
        <w:left w:val="none" w:sz="0" w:space="0" w:color="auto"/>
        <w:bottom w:val="none" w:sz="0" w:space="0" w:color="auto"/>
        <w:right w:val="none" w:sz="0" w:space="0" w:color="auto"/>
      </w:divBdr>
    </w:div>
    <w:div w:id="419134350">
      <w:bodyDiv w:val="1"/>
      <w:marLeft w:val="0"/>
      <w:marRight w:val="0"/>
      <w:marTop w:val="0"/>
      <w:marBottom w:val="0"/>
      <w:divBdr>
        <w:top w:val="none" w:sz="0" w:space="0" w:color="auto"/>
        <w:left w:val="none" w:sz="0" w:space="0" w:color="auto"/>
        <w:bottom w:val="none" w:sz="0" w:space="0" w:color="auto"/>
        <w:right w:val="none" w:sz="0" w:space="0" w:color="auto"/>
      </w:divBdr>
    </w:div>
    <w:div w:id="422995575">
      <w:bodyDiv w:val="1"/>
      <w:marLeft w:val="0"/>
      <w:marRight w:val="0"/>
      <w:marTop w:val="0"/>
      <w:marBottom w:val="0"/>
      <w:divBdr>
        <w:top w:val="none" w:sz="0" w:space="0" w:color="auto"/>
        <w:left w:val="none" w:sz="0" w:space="0" w:color="auto"/>
        <w:bottom w:val="none" w:sz="0" w:space="0" w:color="auto"/>
        <w:right w:val="none" w:sz="0" w:space="0" w:color="auto"/>
      </w:divBdr>
    </w:div>
    <w:div w:id="427583453">
      <w:bodyDiv w:val="1"/>
      <w:marLeft w:val="0"/>
      <w:marRight w:val="0"/>
      <w:marTop w:val="0"/>
      <w:marBottom w:val="0"/>
      <w:divBdr>
        <w:top w:val="none" w:sz="0" w:space="0" w:color="auto"/>
        <w:left w:val="none" w:sz="0" w:space="0" w:color="auto"/>
        <w:bottom w:val="none" w:sz="0" w:space="0" w:color="auto"/>
        <w:right w:val="none" w:sz="0" w:space="0" w:color="auto"/>
      </w:divBdr>
    </w:div>
    <w:div w:id="430858661">
      <w:bodyDiv w:val="1"/>
      <w:marLeft w:val="0"/>
      <w:marRight w:val="0"/>
      <w:marTop w:val="0"/>
      <w:marBottom w:val="0"/>
      <w:divBdr>
        <w:top w:val="none" w:sz="0" w:space="0" w:color="auto"/>
        <w:left w:val="none" w:sz="0" w:space="0" w:color="auto"/>
        <w:bottom w:val="none" w:sz="0" w:space="0" w:color="auto"/>
        <w:right w:val="none" w:sz="0" w:space="0" w:color="auto"/>
      </w:divBdr>
    </w:div>
    <w:div w:id="441848015">
      <w:bodyDiv w:val="1"/>
      <w:marLeft w:val="0"/>
      <w:marRight w:val="0"/>
      <w:marTop w:val="0"/>
      <w:marBottom w:val="0"/>
      <w:divBdr>
        <w:top w:val="none" w:sz="0" w:space="0" w:color="auto"/>
        <w:left w:val="none" w:sz="0" w:space="0" w:color="auto"/>
        <w:bottom w:val="none" w:sz="0" w:space="0" w:color="auto"/>
        <w:right w:val="none" w:sz="0" w:space="0" w:color="auto"/>
      </w:divBdr>
    </w:div>
    <w:div w:id="450519801">
      <w:bodyDiv w:val="1"/>
      <w:marLeft w:val="0"/>
      <w:marRight w:val="0"/>
      <w:marTop w:val="0"/>
      <w:marBottom w:val="0"/>
      <w:divBdr>
        <w:top w:val="none" w:sz="0" w:space="0" w:color="auto"/>
        <w:left w:val="none" w:sz="0" w:space="0" w:color="auto"/>
        <w:bottom w:val="none" w:sz="0" w:space="0" w:color="auto"/>
        <w:right w:val="none" w:sz="0" w:space="0" w:color="auto"/>
      </w:divBdr>
    </w:div>
    <w:div w:id="468480653">
      <w:bodyDiv w:val="1"/>
      <w:marLeft w:val="0"/>
      <w:marRight w:val="0"/>
      <w:marTop w:val="0"/>
      <w:marBottom w:val="0"/>
      <w:divBdr>
        <w:top w:val="none" w:sz="0" w:space="0" w:color="auto"/>
        <w:left w:val="none" w:sz="0" w:space="0" w:color="auto"/>
        <w:bottom w:val="none" w:sz="0" w:space="0" w:color="auto"/>
        <w:right w:val="none" w:sz="0" w:space="0" w:color="auto"/>
      </w:divBdr>
    </w:div>
    <w:div w:id="481043711">
      <w:bodyDiv w:val="1"/>
      <w:marLeft w:val="0"/>
      <w:marRight w:val="0"/>
      <w:marTop w:val="0"/>
      <w:marBottom w:val="0"/>
      <w:divBdr>
        <w:top w:val="none" w:sz="0" w:space="0" w:color="auto"/>
        <w:left w:val="none" w:sz="0" w:space="0" w:color="auto"/>
        <w:bottom w:val="none" w:sz="0" w:space="0" w:color="auto"/>
        <w:right w:val="none" w:sz="0" w:space="0" w:color="auto"/>
      </w:divBdr>
    </w:div>
    <w:div w:id="491919437">
      <w:bodyDiv w:val="1"/>
      <w:marLeft w:val="0"/>
      <w:marRight w:val="0"/>
      <w:marTop w:val="0"/>
      <w:marBottom w:val="0"/>
      <w:divBdr>
        <w:top w:val="none" w:sz="0" w:space="0" w:color="auto"/>
        <w:left w:val="none" w:sz="0" w:space="0" w:color="auto"/>
        <w:bottom w:val="none" w:sz="0" w:space="0" w:color="auto"/>
        <w:right w:val="none" w:sz="0" w:space="0" w:color="auto"/>
      </w:divBdr>
    </w:div>
    <w:div w:id="495269126">
      <w:bodyDiv w:val="1"/>
      <w:marLeft w:val="0"/>
      <w:marRight w:val="0"/>
      <w:marTop w:val="0"/>
      <w:marBottom w:val="0"/>
      <w:divBdr>
        <w:top w:val="none" w:sz="0" w:space="0" w:color="auto"/>
        <w:left w:val="none" w:sz="0" w:space="0" w:color="auto"/>
        <w:bottom w:val="none" w:sz="0" w:space="0" w:color="auto"/>
        <w:right w:val="none" w:sz="0" w:space="0" w:color="auto"/>
      </w:divBdr>
    </w:div>
    <w:div w:id="495649474">
      <w:bodyDiv w:val="1"/>
      <w:marLeft w:val="0"/>
      <w:marRight w:val="0"/>
      <w:marTop w:val="0"/>
      <w:marBottom w:val="0"/>
      <w:divBdr>
        <w:top w:val="none" w:sz="0" w:space="0" w:color="auto"/>
        <w:left w:val="none" w:sz="0" w:space="0" w:color="auto"/>
        <w:bottom w:val="none" w:sz="0" w:space="0" w:color="auto"/>
        <w:right w:val="none" w:sz="0" w:space="0" w:color="auto"/>
      </w:divBdr>
    </w:div>
    <w:div w:id="496269861">
      <w:bodyDiv w:val="1"/>
      <w:marLeft w:val="0"/>
      <w:marRight w:val="0"/>
      <w:marTop w:val="0"/>
      <w:marBottom w:val="0"/>
      <w:divBdr>
        <w:top w:val="none" w:sz="0" w:space="0" w:color="auto"/>
        <w:left w:val="none" w:sz="0" w:space="0" w:color="auto"/>
        <w:bottom w:val="none" w:sz="0" w:space="0" w:color="auto"/>
        <w:right w:val="none" w:sz="0" w:space="0" w:color="auto"/>
      </w:divBdr>
    </w:div>
    <w:div w:id="500632228">
      <w:bodyDiv w:val="1"/>
      <w:marLeft w:val="0"/>
      <w:marRight w:val="0"/>
      <w:marTop w:val="0"/>
      <w:marBottom w:val="0"/>
      <w:divBdr>
        <w:top w:val="none" w:sz="0" w:space="0" w:color="auto"/>
        <w:left w:val="none" w:sz="0" w:space="0" w:color="auto"/>
        <w:bottom w:val="none" w:sz="0" w:space="0" w:color="auto"/>
        <w:right w:val="none" w:sz="0" w:space="0" w:color="auto"/>
      </w:divBdr>
    </w:div>
    <w:div w:id="550269109">
      <w:bodyDiv w:val="1"/>
      <w:marLeft w:val="0"/>
      <w:marRight w:val="0"/>
      <w:marTop w:val="0"/>
      <w:marBottom w:val="0"/>
      <w:divBdr>
        <w:top w:val="none" w:sz="0" w:space="0" w:color="auto"/>
        <w:left w:val="none" w:sz="0" w:space="0" w:color="auto"/>
        <w:bottom w:val="none" w:sz="0" w:space="0" w:color="auto"/>
        <w:right w:val="none" w:sz="0" w:space="0" w:color="auto"/>
      </w:divBdr>
    </w:div>
    <w:div w:id="554656215">
      <w:bodyDiv w:val="1"/>
      <w:marLeft w:val="0"/>
      <w:marRight w:val="0"/>
      <w:marTop w:val="0"/>
      <w:marBottom w:val="0"/>
      <w:divBdr>
        <w:top w:val="none" w:sz="0" w:space="0" w:color="auto"/>
        <w:left w:val="none" w:sz="0" w:space="0" w:color="auto"/>
        <w:bottom w:val="none" w:sz="0" w:space="0" w:color="auto"/>
        <w:right w:val="none" w:sz="0" w:space="0" w:color="auto"/>
      </w:divBdr>
    </w:div>
    <w:div w:id="566695690">
      <w:bodyDiv w:val="1"/>
      <w:marLeft w:val="0"/>
      <w:marRight w:val="0"/>
      <w:marTop w:val="0"/>
      <w:marBottom w:val="0"/>
      <w:divBdr>
        <w:top w:val="none" w:sz="0" w:space="0" w:color="auto"/>
        <w:left w:val="none" w:sz="0" w:space="0" w:color="auto"/>
        <w:bottom w:val="none" w:sz="0" w:space="0" w:color="auto"/>
        <w:right w:val="none" w:sz="0" w:space="0" w:color="auto"/>
      </w:divBdr>
    </w:div>
    <w:div w:id="567886354">
      <w:bodyDiv w:val="1"/>
      <w:marLeft w:val="0"/>
      <w:marRight w:val="0"/>
      <w:marTop w:val="0"/>
      <w:marBottom w:val="0"/>
      <w:divBdr>
        <w:top w:val="none" w:sz="0" w:space="0" w:color="auto"/>
        <w:left w:val="none" w:sz="0" w:space="0" w:color="auto"/>
        <w:bottom w:val="none" w:sz="0" w:space="0" w:color="auto"/>
        <w:right w:val="none" w:sz="0" w:space="0" w:color="auto"/>
      </w:divBdr>
    </w:div>
    <w:div w:id="570652288">
      <w:bodyDiv w:val="1"/>
      <w:marLeft w:val="0"/>
      <w:marRight w:val="0"/>
      <w:marTop w:val="0"/>
      <w:marBottom w:val="0"/>
      <w:divBdr>
        <w:top w:val="none" w:sz="0" w:space="0" w:color="auto"/>
        <w:left w:val="none" w:sz="0" w:space="0" w:color="auto"/>
        <w:bottom w:val="none" w:sz="0" w:space="0" w:color="auto"/>
        <w:right w:val="none" w:sz="0" w:space="0" w:color="auto"/>
      </w:divBdr>
    </w:div>
    <w:div w:id="574049161">
      <w:bodyDiv w:val="1"/>
      <w:marLeft w:val="0"/>
      <w:marRight w:val="0"/>
      <w:marTop w:val="0"/>
      <w:marBottom w:val="0"/>
      <w:divBdr>
        <w:top w:val="none" w:sz="0" w:space="0" w:color="auto"/>
        <w:left w:val="none" w:sz="0" w:space="0" w:color="auto"/>
        <w:bottom w:val="none" w:sz="0" w:space="0" w:color="auto"/>
        <w:right w:val="none" w:sz="0" w:space="0" w:color="auto"/>
      </w:divBdr>
    </w:div>
    <w:div w:id="586422608">
      <w:bodyDiv w:val="1"/>
      <w:marLeft w:val="0"/>
      <w:marRight w:val="0"/>
      <w:marTop w:val="0"/>
      <w:marBottom w:val="0"/>
      <w:divBdr>
        <w:top w:val="none" w:sz="0" w:space="0" w:color="auto"/>
        <w:left w:val="none" w:sz="0" w:space="0" w:color="auto"/>
        <w:bottom w:val="none" w:sz="0" w:space="0" w:color="auto"/>
        <w:right w:val="none" w:sz="0" w:space="0" w:color="auto"/>
      </w:divBdr>
    </w:div>
    <w:div w:id="587888297">
      <w:bodyDiv w:val="1"/>
      <w:marLeft w:val="0"/>
      <w:marRight w:val="0"/>
      <w:marTop w:val="0"/>
      <w:marBottom w:val="0"/>
      <w:divBdr>
        <w:top w:val="none" w:sz="0" w:space="0" w:color="auto"/>
        <w:left w:val="none" w:sz="0" w:space="0" w:color="auto"/>
        <w:bottom w:val="none" w:sz="0" w:space="0" w:color="auto"/>
        <w:right w:val="none" w:sz="0" w:space="0" w:color="auto"/>
      </w:divBdr>
    </w:div>
    <w:div w:id="592709563">
      <w:bodyDiv w:val="1"/>
      <w:marLeft w:val="0"/>
      <w:marRight w:val="0"/>
      <w:marTop w:val="0"/>
      <w:marBottom w:val="0"/>
      <w:divBdr>
        <w:top w:val="none" w:sz="0" w:space="0" w:color="auto"/>
        <w:left w:val="none" w:sz="0" w:space="0" w:color="auto"/>
        <w:bottom w:val="none" w:sz="0" w:space="0" w:color="auto"/>
        <w:right w:val="none" w:sz="0" w:space="0" w:color="auto"/>
      </w:divBdr>
    </w:div>
    <w:div w:id="600185071">
      <w:bodyDiv w:val="1"/>
      <w:marLeft w:val="0"/>
      <w:marRight w:val="0"/>
      <w:marTop w:val="0"/>
      <w:marBottom w:val="0"/>
      <w:divBdr>
        <w:top w:val="none" w:sz="0" w:space="0" w:color="auto"/>
        <w:left w:val="none" w:sz="0" w:space="0" w:color="auto"/>
        <w:bottom w:val="none" w:sz="0" w:space="0" w:color="auto"/>
        <w:right w:val="none" w:sz="0" w:space="0" w:color="auto"/>
      </w:divBdr>
    </w:div>
    <w:div w:id="642854595">
      <w:bodyDiv w:val="1"/>
      <w:marLeft w:val="0"/>
      <w:marRight w:val="0"/>
      <w:marTop w:val="0"/>
      <w:marBottom w:val="0"/>
      <w:divBdr>
        <w:top w:val="none" w:sz="0" w:space="0" w:color="auto"/>
        <w:left w:val="none" w:sz="0" w:space="0" w:color="auto"/>
        <w:bottom w:val="none" w:sz="0" w:space="0" w:color="auto"/>
        <w:right w:val="none" w:sz="0" w:space="0" w:color="auto"/>
      </w:divBdr>
    </w:div>
    <w:div w:id="668870986">
      <w:bodyDiv w:val="1"/>
      <w:marLeft w:val="0"/>
      <w:marRight w:val="0"/>
      <w:marTop w:val="0"/>
      <w:marBottom w:val="0"/>
      <w:divBdr>
        <w:top w:val="none" w:sz="0" w:space="0" w:color="auto"/>
        <w:left w:val="none" w:sz="0" w:space="0" w:color="auto"/>
        <w:bottom w:val="none" w:sz="0" w:space="0" w:color="auto"/>
        <w:right w:val="none" w:sz="0" w:space="0" w:color="auto"/>
      </w:divBdr>
    </w:div>
    <w:div w:id="673188541">
      <w:bodyDiv w:val="1"/>
      <w:marLeft w:val="0"/>
      <w:marRight w:val="0"/>
      <w:marTop w:val="0"/>
      <w:marBottom w:val="0"/>
      <w:divBdr>
        <w:top w:val="none" w:sz="0" w:space="0" w:color="auto"/>
        <w:left w:val="none" w:sz="0" w:space="0" w:color="auto"/>
        <w:bottom w:val="none" w:sz="0" w:space="0" w:color="auto"/>
        <w:right w:val="none" w:sz="0" w:space="0" w:color="auto"/>
      </w:divBdr>
    </w:div>
    <w:div w:id="687174878">
      <w:bodyDiv w:val="1"/>
      <w:marLeft w:val="0"/>
      <w:marRight w:val="0"/>
      <w:marTop w:val="0"/>
      <w:marBottom w:val="0"/>
      <w:divBdr>
        <w:top w:val="none" w:sz="0" w:space="0" w:color="auto"/>
        <w:left w:val="none" w:sz="0" w:space="0" w:color="auto"/>
        <w:bottom w:val="none" w:sz="0" w:space="0" w:color="auto"/>
        <w:right w:val="none" w:sz="0" w:space="0" w:color="auto"/>
      </w:divBdr>
    </w:div>
    <w:div w:id="755591369">
      <w:bodyDiv w:val="1"/>
      <w:marLeft w:val="0"/>
      <w:marRight w:val="0"/>
      <w:marTop w:val="0"/>
      <w:marBottom w:val="0"/>
      <w:divBdr>
        <w:top w:val="none" w:sz="0" w:space="0" w:color="auto"/>
        <w:left w:val="none" w:sz="0" w:space="0" w:color="auto"/>
        <w:bottom w:val="none" w:sz="0" w:space="0" w:color="auto"/>
        <w:right w:val="none" w:sz="0" w:space="0" w:color="auto"/>
      </w:divBdr>
    </w:div>
    <w:div w:id="774978977">
      <w:bodyDiv w:val="1"/>
      <w:marLeft w:val="0"/>
      <w:marRight w:val="0"/>
      <w:marTop w:val="0"/>
      <w:marBottom w:val="0"/>
      <w:divBdr>
        <w:top w:val="none" w:sz="0" w:space="0" w:color="auto"/>
        <w:left w:val="none" w:sz="0" w:space="0" w:color="auto"/>
        <w:bottom w:val="none" w:sz="0" w:space="0" w:color="auto"/>
        <w:right w:val="none" w:sz="0" w:space="0" w:color="auto"/>
      </w:divBdr>
    </w:div>
    <w:div w:id="787428231">
      <w:bodyDiv w:val="1"/>
      <w:marLeft w:val="0"/>
      <w:marRight w:val="0"/>
      <w:marTop w:val="0"/>
      <w:marBottom w:val="0"/>
      <w:divBdr>
        <w:top w:val="none" w:sz="0" w:space="0" w:color="auto"/>
        <w:left w:val="none" w:sz="0" w:space="0" w:color="auto"/>
        <w:bottom w:val="none" w:sz="0" w:space="0" w:color="auto"/>
        <w:right w:val="none" w:sz="0" w:space="0" w:color="auto"/>
      </w:divBdr>
    </w:div>
    <w:div w:id="803889394">
      <w:bodyDiv w:val="1"/>
      <w:marLeft w:val="0"/>
      <w:marRight w:val="0"/>
      <w:marTop w:val="0"/>
      <w:marBottom w:val="0"/>
      <w:divBdr>
        <w:top w:val="none" w:sz="0" w:space="0" w:color="auto"/>
        <w:left w:val="none" w:sz="0" w:space="0" w:color="auto"/>
        <w:bottom w:val="none" w:sz="0" w:space="0" w:color="auto"/>
        <w:right w:val="none" w:sz="0" w:space="0" w:color="auto"/>
      </w:divBdr>
    </w:div>
    <w:div w:id="809446723">
      <w:bodyDiv w:val="1"/>
      <w:marLeft w:val="0"/>
      <w:marRight w:val="0"/>
      <w:marTop w:val="0"/>
      <w:marBottom w:val="0"/>
      <w:divBdr>
        <w:top w:val="none" w:sz="0" w:space="0" w:color="auto"/>
        <w:left w:val="none" w:sz="0" w:space="0" w:color="auto"/>
        <w:bottom w:val="none" w:sz="0" w:space="0" w:color="auto"/>
        <w:right w:val="none" w:sz="0" w:space="0" w:color="auto"/>
      </w:divBdr>
    </w:div>
    <w:div w:id="814446151">
      <w:bodyDiv w:val="1"/>
      <w:marLeft w:val="0"/>
      <w:marRight w:val="0"/>
      <w:marTop w:val="0"/>
      <w:marBottom w:val="0"/>
      <w:divBdr>
        <w:top w:val="none" w:sz="0" w:space="0" w:color="auto"/>
        <w:left w:val="none" w:sz="0" w:space="0" w:color="auto"/>
        <w:bottom w:val="none" w:sz="0" w:space="0" w:color="auto"/>
        <w:right w:val="none" w:sz="0" w:space="0" w:color="auto"/>
      </w:divBdr>
    </w:div>
    <w:div w:id="816804871">
      <w:bodyDiv w:val="1"/>
      <w:marLeft w:val="0"/>
      <w:marRight w:val="0"/>
      <w:marTop w:val="0"/>
      <w:marBottom w:val="0"/>
      <w:divBdr>
        <w:top w:val="none" w:sz="0" w:space="0" w:color="auto"/>
        <w:left w:val="none" w:sz="0" w:space="0" w:color="auto"/>
        <w:bottom w:val="none" w:sz="0" w:space="0" w:color="auto"/>
        <w:right w:val="none" w:sz="0" w:space="0" w:color="auto"/>
      </w:divBdr>
    </w:div>
    <w:div w:id="871000146">
      <w:bodyDiv w:val="1"/>
      <w:marLeft w:val="0"/>
      <w:marRight w:val="0"/>
      <w:marTop w:val="0"/>
      <w:marBottom w:val="0"/>
      <w:divBdr>
        <w:top w:val="none" w:sz="0" w:space="0" w:color="auto"/>
        <w:left w:val="none" w:sz="0" w:space="0" w:color="auto"/>
        <w:bottom w:val="none" w:sz="0" w:space="0" w:color="auto"/>
        <w:right w:val="none" w:sz="0" w:space="0" w:color="auto"/>
      </w:divBdr>
    </w:div>
    <w:div w:id="885292762">
      <w:bodyDiv w:val="1"/>
      <w:marLeft w:val="0"/>
      <w:marRight w:val="0"/>
      <w:marTop w:val="0"/>
      <w:marBottom w:val="0"/>
      <w:divBdr>
        <w:top w:val="none" w:sz="0" w:space="0" w:color="auto"/>
        <w:left w:val="none" w:sz="0" w:space="0" w:color="auto"/>
        <w:bottom w:val="none" w:sz="0" w:space="0" w:color="auto"/>
        <w:right w:val="none" w:sz="0" w:space="0" w:color="auto"/>
      </w:divBdr>
    </w:div>
    <w:div w:id="892959191">
      <w:bodyDiv w:val="1"/>
      <w:marLeft w:val="0"/>
      <w:marRight w:val="0"/>
      <w:marTop w:val="0"/>
      <w:marBottom w:val="0"/>
      <w:divBdr>
        <w:top w:val="none" w:sz="0" w:space="0" w:color="auto"/>
        <w:left w:val="none" w:sz="0" w:space="0" w:color="auto"/>
        <w:bottom w:val="none" w:sz="0" w:space="0" w:color="auto"/>
        <w:right w:val="none" w:sz="0" w:space="0" w:color="auto"/>
      </w:divBdr>
    </w:div>
    <w:div w:id="894897261">
      <w:bodyDiv w:val="1"/>
      <w:marLeft w:val="0"/>
      <w:marRight w:val="0"/>
      <w:marTop w:val="0"/>
      <w:marBottom w:val="0"/>
      <w:divBdr>
        <w:top w:val="none" w:sz="0" w:space="0" w:color="auto"/>
        <w:left w:val="none" w:sz="0" w:space="0" w:color="auto"/>
        <w:bottom w:val="none" w:sz="0" w:space="0" w:color="auto"/>
        <w:right w:val="none" w:sz="0" w:space="0" w:color="auto"/>
      </w:divBdr>
    </w:div>
    <w:div w:id="895429991">
      <w:bodyDiv w:val="1"/>
      <w:marLeft w:val="0"/>
      <w:marRight w:val="0"/>
      <w:marTop w:val="0"/>
      <w:marBottom w:val="0"/>
      <w:divBdr>
        <w:top w:val="none" w:sz="0" w:space="0" w:color="auto"/>
        <w:left w:val="none" w:sz="0" w:space="0" w:color="auto"/>
        <w:bottom w:val="none" w:sz="0" w:space="0" w:color="auto"/>
        <w:right w:val="none" w:sz="0" w:space="0" w:color="auto"/>
      </w:divBdr>
    </w:div>
    <w:div w:id="903107484">
      <w:bodyDiv w:val="1"/>
      <w:marLeft w:val="0"/>
      <w:marRight w:val="0"/>
      <w:marTop w:val="0"/>
      <w:marBottom w:val="0"/>
      <w:divBdr>
        <w:top w:val="none" w:sz="0" w:space="0" w:color="auto"/>
        <w:left w:val="none" w:sz="0" w:space="0" w:color="auto"/>
        <w:bottom w:val="none" w:sz="0" w:space="0" w:color="auto"/>
        <w:right w:val="none" w:sz="0" w:space="0" w:color="auto"/>
      </w:divBdr>
    </w:div>
    <w:div w:id="908730432">
      <w:bodyDiv w:val="1"/>
      <w:marLeft w:val="0"/>
      <w:marRight w:val="0"/>
      <w:marTop w:val="0"/>
      <w:marBottom w:val="0"/>
      <w:divBdr>
        <w:top w:val="none" w:sz="0" w:space="0" w:color="auto"/>
        <w:left w:val="none" w:sz="0" w:space="0" w:color="auto"/>
        <w:bottom w:val="none" w:sz="0" w:space="0" w:color="auto"/>
        <w:right w:val="none" w:sz="0" w:space="0" w:color="auto"/>
      </w:divBdr>
    </w:div>
    <w:div w:id="916356462">
      <w:bodyDiv w:val="1"/>
      <w:marLeft w:val="0"/>
      <w:marRight w:val="0"/>
      <w:marTop w:val="0"/>
      <w:marBottom w:val="0"/>
      <w:divBdr>
        <w:top w:val="none" w:sz="0" w:space="0" w:color="auto"/>
        <w:left w:val="none" w:sz="0" w:space="0" w:color="auto"/>
        <w:bottom w:val="none" w:sz="0" w:space="0" w:color="auto"/>
        <w:right w:val="none" w:sz="0" w:space="0" w:color="auto"/>
      </w:divBdr>
    </w:div>
    <w:div w:id="918292690">
      <w:bodyDiv w:val="1"/>
      <w:marLeft w:val="0"/>
      <w:marRight w:val="0"/>
      <w:marTop w:val="0"/>
      <w:marBottom w:val="0"/>
      <w:divBdr>
        <w:top w:val="none" w:sz="0" w:space="0" w:color="auto"/>
        <w:left w:val="none" w:sz="0" w:space="0" w:color="auto"/>
        <w:bottom w:val="none" w:sz="0" w:space="0" w:color="auto"/>
        <w:right w:val="none" w:sz="0" w:space="0" w:color="auto"/>
      </w:divBdr>
    </w:div>
    <w:div w:id="918363780">
      <w:bodyDiv w:val="1"/>
      <w:marLeft w:val="0"/>
      <w:marRight w:val="0"/>
      <w:marTop w:val="0"/>
      <w:marBottom w:val="0"/>
      <w:divBdr>
        <w:top w:val="none" w:sz="0" w:space="0" w:color="auto"/>
        <w:left w:val="none" w:sz="0" w:space="0" w:color="auto"/>
        <w:bottom w:val="none" w:sz="0" w:space="0" w:color="auto"/>
        <w:right w:val="none" w:sz="0" w:space="0" w:color="auto"/>
      </w:divBdr>
    </w:div>
    <w:div w:id="927419763">
      <w:bodyDiv w:val="1"/>
      <w:marLeft w:val="0"/>
      <w:marRight w:val="0"/>
      <w:marTop w:val="0"/>
      <w:marBottom w:val="0"/>
      <w:divBdr>
        <w:top w:val="none" w:sz="0" w:space="0" w:color="auto"/>
        <w:left w:val="none" w:sz="0" w:space="0" w:color="auto"/>
        <w:bottom w:val="none" w:sz="0" w:space="0" w:color="auto"/>
        <w:right w:val="none" w:sz="0" w:space="0" w:color="auto"/>
      </w:divBdr>
    </w:div>
    <w:div w:id="933516221">
      <w:bodyDiv w:val="1"/>
      <w:marLeft w:val="0"/>
      <w:marRight w:val="0"/>
      <w:marTop w:val="0"/>
      <w:marBottom w:val="0"/>
      <w:divBdr>
        <w:top w:val="none" w:sz="0" w:space="0" w:color="auto"/>
        <w:left w:val="none" w:sz="0" w:space="0" w:color="auto"/>
        <w:bottom w:val="none" w:sz="0" w:space="0" w:color="auto"/>
        <w:right w:val="none" w:sz="0" w:space="0" w:color="auto"/>
      </w:divBdr>
    </w:div>
    <w:div w:id="949167017">
      <w:bodyDiv w:val="1"/>
      <w:marLeft w:val="0"/>
      <w:marRight w:val="0"/>
      <w:marTop w:val="0"/>
      <w:marBottom w:val="0"/>
      <w:divBdr>
        <w:top w:val="none" w:sz="0" w:space="0" w:color="auto"/>
        <w:left w:val="none" w:sz="0" w:space="0" w:color="auto"/>
        <w:bottom w:val="none" w:sz="0" w:space="0" w:color="auto"/>
        <w:right w:val="none" w:sz="0" w:space="0" w:color="auto"/>
      </w:divBdr>
    </w:div>
    <w:div w:id="956958032">
      <w:bodyDiv w:val="1"/>
      <w:marLeft w:val="0"/>
      <w:marRight w:val="0"/>
      <w:marTop w:val="0"/>
      <w:marBottom w:val="0"/>
      <w:divBdr>
        <w:top w:val="none" w:sz="0" w:space="0" w:color="auto"/>
        <w:left w:val="none" w:sz="0" w:space="0" w:color="auto"/>
        <w:bottom w:val="none" w:sz="0" w:space="0" w:color="auto"/>
        <w:right w:val="none" w:sz="0" w:space="0" w:color="auto"/>
      </w:divBdr>
    </w:div>
    <w:div w:id="972442331">
      <w:bodyDiv w:val="1"/>
      <w:marLeft w:val="0"/>
      <w:marRight w:val="0"/>
      <w:marTop w:val="0"/>
      <w:marBottom w:val="0"/>
      <w:divBdr>
        <w:top w:val="none" w:sz="0" w:space="0" w:color="auto"/>
        <w:left w:val="none" w:sz="0" w:space="0" w:color="auto"/>
        <w:bottom w:val="none" w:sz="0" w:space="0" w:color="auto"/>
        <w:right w:val="none" w:sz="0" w:space="0" w:color="auto"/>
      </w:divBdr>
    </w:div>
    <w:div w:id="1008287625">
      <w:bodyDiv w:val="1"/>
      <w:marLeft w:val="0"/>
      <w:marRight w:val="0"/>
      <w:marTop w:val="0"/>
      <w:marBottom w:val="0"/>
      <w:divBdr>
        <w:top w:val="none" w:sz="0" w:space="0" w:color="auto"/>
        <w:left w:val="none" w:sz="0" w:space="0" w:color="auto"/>
        <w:bottom w:val="none" w:sz="0" w:space="0" w:color="auto"/>
        <w:right w:val="none" w:sz="0" w:space="0" w:color="auto"/>
      </w:divBdr>
    </w:div>
    <w:div w:id="1011108844">
      <w:bodyDiv w:val="1"/>
      <w:marLeft w:val="0"/>
      <w:marRight w:val="0"/>
      <w:marTop w:val="0"/>
      <w:marBottom w:val="0"/>
      <w:divBdr>
        <w:top w:val="none" w:sz="0" w:space="0" w:color="auto"/>
        <w:left w:val="none" w:sz="0" w:space="0" w:color="auto"/>
        <w:bottom w:val="none" w:sz="0" w:space="0" w:color="auto"/>
        <w:right w:val="none" w:sz="0" w:space="0" w:color="auto"/>
      </w:divBdr>
    </w:div>
    <w:div w:id="1086145909">
      <w:bodyDiv w:val="1"/>
      <w:marLeft w:val="0"/>
      <w:marRight w:val="0"/>
      <w:marTop w:val="0"/>
      <w:marBottom w:val="0"/>
      <w:divBdr>
        <w:top w:val="none" w:sz="0" w:space="0" w:color="auto"/>
        <w:left w:val="none" w:sz="0" w:space="0" w:color="auto"/>
        <w:bottom w:val="none" w:sz="0" w:space="0" w:color="auto"/>
        <w:right w:val="none" w:sz="0" w:space="0" w:color="auto"/>
      </w:divBdr>
    </w:div>
    <w:div w:id="1104182517">
      <w:bodyDiv w:val="1"/>
      <w:marLeft w:val="0"/>
      <w:marRight w:val="0"/>
      <w:marTop w:val="0"/>
      <w:marBottom w:val="0"/>
      <w:divBdr>
        <w:top w:val="none" w:sz="0" w:space="0" w:color="auto"/>
        <w:left w:val="none" w:sz="0" w:space="0" w:color="auto"/>
        <w:bottom w:val="none" w:sz="0" w:space="0" w:color="auto"/>
        <w:right w:val="none" w:sz="0" w:space="0" w:color="auto"/>
      </w:divBdr>
    </w:div>
    <w:div w:id="1119882281">
      <w:bodyDiv w:val="1"/>
      <w:marLeft w:val="0"/>
      <w:marRight w:val="0"/>
      <w:marTop w:val="0"/>
      <w:marBottom w:val="0"/>
      <w:divBdr>
        <w:top w:val="none" w:sz="0" w:space="0" w:color="auto"/>
        <w:left w:val="none" w:sz="0" w:space="0" w:color="auto"/>
        <w:bottom w:val="none" w:sz="0" w:space="0" w:color="auto"/>
        <w:right w:val="none" w:sz="0" w:space="0" w:color="auto"/>
      </w:divBdr>
    </w:div>
    <w:div w:id="1141575010">
      <w:bodyDiv w:val="1"/>
      <w:marLeft w:val="0"/>
      <w:marRight w:val="0"/>
      <w:marTop w:val="0"/>
      <w:marBottom w:val="0"/>
      <w:divBdr>
        <w:top w:val="none" w:sz="0" w:space="0" w:color="auto"/>
        <w:left w:val="none" w:sz="0" w:space="0" w:color="auto"/>
        <w:bottom w:val="none" w:sz="0" w:space="0" w:color="auto"/>
        <w:right w:val="none" w:sz="0" w:space="0" w:color="auto"/>
      </w:divBdr>
    </w:div>
    <w:div w:id="1144079979">
      <w:bodyDiv w:val="1"/>
      <w:marLeft w:val="0"/>
      <w:marRight w:val="0"/>
      <w:marTop w:val="0"/>
      <w:marBottom w:val="0"/>
      <w:divBdr>
        <w:top w:val="none" w:sz="0" w:space="0" w:color="auto"/>
        <w:left w:val="none" w:sz="0" w:space="0" w:color="auto"/>
        <w:bottom w:val="none" w:sz="0" w:space="0" w:color="auto"/>
        <w:right w:val="none" w:sz="0" w:space="0" w:color="auto"/>
      </w:divBdr>
    </w:div>
    <w:div w:id="1146700300">
      <w:bodyDiv w:val="1"/>
      <w:marLeft w:val="0"/>
      <w:marRight w:val="0"/>
      <w:marTop w:val="0"/>
      <w:marBottom w:val="0"/>
      <w:divBdr>
        <w:top w:val="none" w:sz="0" w:space="0" w:color="auto"/>
        <w:left w:val="none" w:sz="0" w:space="0" w:color="auto"/>
        <w:bottom w:val="none" w:sz="0" w:space="0" w:color="auto"/>
        <w:right w:val="none" w:sz="0" w:space="0" w:color="auto"/>
      </w:divBdr>
    </w:div>
    <w:div w:id="1171214658">
      <w:bodyDiv w:val="1"/>
      <w:marLeft w:val="0"/>
      <w:marRight w:val="0"/>
      <w:marTop w:val="0"/>
      <w:marBottom w:val="0"/>
      <w:divBdr>
        <w:top w:val="none" w:sz="0" w:space="0" w:color="auto"/>
        <w:left w:val="none" w:sz="0" w:space="0" w:color="auto"/>
        <w:bottom w:val="none" w:sz="0" w:space="0" w:color="auto"/>
        <w:right w:val="none" w:sz="0" w:space="0" w:color="auto"/>
      </w:divBdr>
    </w:div>
    <w:div w:id="1195145555">
      <w:bodyDiv w:val="1"/>
      <w:marLeft w:val="0"/>
      <w:marRight w:val="0"/>
      <w:marTop w:val="0"/>
      <w:marBottom w:val="0"/>
      <w:divBdr>
        <w:top w:val="none" w:sz="0" w:space="0" w:color="auto"/>
        <w:left w:val="none" w:sz="0" w:space="0" w:color="auto"/>
        <w:bottom w:val="none" w:sz="0" w:space="0" w:color="auto"/>
        <w:right w:val="none" w:sz="0" w:space="0" w:color="auto"/>
      </w:divBdr>
    </w:div>
    <w:div w:id="1206135633">
      <w:bodyDiv w:val="1"/>
      <w:marLeft w:val="0"/>
      <w:marRight w:val="0"/>
      <w:marTop w:val="0"/>
      <w:marBottom w:val="0"/>
      <w:divBdr>
        <w:top w:val="none" w:sz="0" w:space="0" w:color="auto"/>
        <w:left w:val="none" w:sz="0" w:space="0" w:color="auto"/>
        <w:bottom w:val="none" w:sz="0" w:space="0" w:color="auto"/>
        <w:right w:val="none" w:sz="0" w:space="0" w:color="auto"/>
      </w:divBdr>
    </w:div>
    <w:div w:id="1223247629">
      <w:bodyDiv w:val="1"/>
      <w:marLeft w:val="0"/>
      <w:marRight w:val="0"/>
      <w:marTop w:val="0"/>
      <w:marBottom w:val="0"/>
      <w:divBdr>
        <w:top w:val="none" w:sz="0" w:space="0" w:color="auto"/>
        <w:left w:val="none" w:sz="0" w:space="0" w:color="auto"/>
        <w:bottom w:val="none" w:sz="0" w:space="0" w:color="auto"/>
        <w:right w:val="none" w:sz="0" w:space="0" w:color="auto"/>
      </w:divBdr>
    </w:div>
    <w:div w:id="1241255162">
      <w:bodyDiv w:val="1"/>
      <w:marLeft w:val="0"/>
      <w:marRight w:val="0"/>
      <w:marTop w:val="0"/>
      <w:marBottom w:val="0"/>
      <w:divBdr>
        <w:top w:val="none" w:sz="0" w:space="0" w:color="auto"/>
        <w:left w:val="none" w:sz="0" w:space="0" w:color="auto"/>
        <w:bottom w:val="none" w:sz="0" w:space="0" w:color="auto"/>
        <w:right w:val="none" w:sz="0" w:space="0" w:color="auto"/>
      </w:divBdr>
    </w:div>
    <w:div w:id="1269393844">
      <w:bodyDiv w:val="1"/>
      <w:marLeft w:val="0"/>
      <w:marRight w:val="0"/>
      <w:marTop w:val="0"/>
      <w:marBottom w:val="0"/>
      <w:divBdr>
        <w:top w:val="none" w:sz="0" w:space="0" w:color="auto"/>
        <w:left w:val="none" w:sz="0" w:space="0" w:color="auto"/>
        <w:bottom w:val="none" w:sz="0" w:space="0" w:color="auto"/>
        <w:right w:val="none" w:sz="0" w:space="0" w:color="auto"/>
      </w:divBdr>
    </w:div>
    <w:div w:id="1282952859">
      <w:bodyDiv w:val="1"/>
      <w:marLeft w:val="0"/>
      <w:marRight w:val="0"/>
      <w:marTop w:val="0"/>
      <w:marBottom w:val="0"/>
      <w:divBdr>
        <w:top w:val="none" w:sz="0" w:space="0" w:color="auto"/>
        <w:left w:val="none" w:sz="0" w:space="0" w:color="auto"/>
        <w:bottom w:val="none" w:sz="0" w:space="0" w:color="auto"/>
        <w:right w:val="none" w:sz="0" w:space="0" w:color="auto"/>
      </w:divBdr>
    </w:div>
    <w:div w:id="1304314573">
      <w:bodyDiv w:val="1"/>
      <w:marLeft w:val="0"/>
      <w:marRight w:val="0"/>
      <w:marTop w:val="0"/>
      <w:marBottom w:val="0"/>
      <w:divBdr>
        <w:top w:val="none" w:sz="0" w:space="0" w:color="auto"/>
        <w:left w:val="none" w:sz="0" w:space="0" w:color="auto"/>
        <w:bottom w:val="none" w:sz="0" w:space="0" w:color="auto"/>
        <w:right w:val="none" w:sz="0" w:space="0" w:color="auto"/>
      </w:divBdr>
    </w:div>
    <w:div w:id="1318221807">
      <w:bodyDiv w:val="1"/>
      <w:marLeft w:val="0"/>
      <w:marRight w:val="0"/>
      <w:marTop w:val="0"/>
      <w:marBottom w:val="0"/>
      <w:divBdr>
        <w:top w:val="none" w:sz="0" w:space="0" w:color="auto"/>
        <w:left w:val="none" w:sz="0" w:space="0" w:color="auto"/>
        <w:bottom w:val="none" w:sz="0" w:space="0" w:color="auto"/>
        <w:right w:val="none" w:sz="0" w:space="0" w:color="auto"/>
      </w:divBdr>
    </w:div>
    <w:div w:id="1326862314">
      <w:bodyDiv w:val="1"/>
      <w:marLeft w:val="0"/>
      <w:marRight w:val="0"/>
      <w:marTop w:val="0"/>
      <w:marBottom w:val="0"/>
      <w:divBdr>
        <w:top w:val="none" w:sz="0" w:space="0" w:color="auto"/>
        <w:left w:val="none" w:sz="0" w:space="0" w:color="auto"/>
        <w:bottom w:val="none" w:sz="0" w:space="0" w:color="auto"/>
        <w:right w:val="none" w:sz="0" w:space="0" w:color="auto"/>
      </w:divBdr>
    </w:div>
    <w:div w:id="1359038382">
      <w:bodyDiv w:val="1"/>
      <w:marLeft w:val="0"/>
      <w:marRight w:val="0"/>
      <w:marTop w:val="0"/>
      <w:marBottom w:val="0"/>
      <w:divBdr>
        <w:top w:val="none" w:sz="0" w:space="0" w:color="auto"/>
        <w:left w:val="none" w:sz="0" w:space="0" w:color="auto"/>
        <w:bottom w:val="none" w:sz="0" w:space="0" w:color="auto"/>
        <w:right w:val="none" w:sz="0" w:space="0" w:color="auto"/>
      </w:divBdr>
    </w:div>
    <w:div w:id="1361012471">
      <w:bodyDiv w:val="1"/>
      <w:marLeft w:val="0"/>
      <w:marRight w:val="0"/>
      <w:marTop w:val="0"/>
      <w:marBottom w:val="0"/>
      <w:divBdr>
        <w:top w:val="none" w:sz="0" w:space="0" w:color="auto"/>
        <w:left w:val="none" w:sz="0" w:space="0" w:color="auto"/>
        <w:bottom w:val="none" w:sz="0" w:space="0" w:color="auto"/>
        <w:right w:val="none" w:sz="0" w:space="0" w:color="auto"/>
      </w:divBdr>
    </w:div>
    <w:div w:id="1378776312">
      <w:bodyDiv w:val="1"/>
      <w:marLeft w:val="0"/>
      <w:marRight w:val="0"/>
      <w:marTop w:val="0"/>
      <w:marBottom w:val="0"/>
      <w:divBdr>
        <w:top w:val="none" w:sz="0" w:space="0" w:color="auto"/>
        <w:left w:val="none" w:sz="0" w:space="0" w:color="auto"/>
        <w:bottom w:val="none" w:sz="0" w:space="0" w:color="auto"/>
        <w:right w:val="none" w:sz="0" w:space="0" w:color="auto"/>
      </w:divBdr>
    </w:div>
    <w:div w:id="1381057069">
      <w:bodyDiv w:val="1"/>
      <w:marLeft w:val="0"/>
      <w:marRight w:val="0"/>
      <w:marTop w:val="0"/>
      <w:marBottom w:val="0"/>
      <w:divBdr>
        <w:top w:val="none" w:sz="0" w:space="0" w:color="auto"/>
        <w:left w:val="none" w:sz="0" w:space="0" w:color="auto"/>
        <w:bottom w:val="none" w:sz="0" w:space="0" w:color="auto"/>
        <w:right w:val="none" w:sz="0" w:space="0" w:color="auto"/>
      </w:divBdr>
    </w:div>
    <w:div w:id="1395736896">
      <w:bodyDiv w:val="1"/>
      <w:marLeft w:val="0"/>
      <w:marRight w:val="0"/>
      <w:marTop w:val="0"/>
      <w:marBottom w:val="0"/>
      <w:divBdr>
        <w:top w:val="none" w:sz="0" w:space="0" w:color="auto"/>
        <w:left w:val="none" w:sz="0" w:space="0" w:color="auto"/>
        <w:bottom w:val="none" w:sz="0" w:space="0" w:color="auto"/>
        <w:right w:val="none" w:sz="0" w:space="0" w:color="auto"/>
      </w:divBdr>
    </w:div>
    <w:div w:id="1437288183">
      <w:bodyDiv w:val="1"/>
      <w:marLeft w:val="0"/>
      <w:marRight w:val="0"/>
      <w:marTop w:val="0"/>
      <w:marBottom w:val="0"/>
      <w:divBdr>
        <w:top w:val="none" w:sz="0" w:space="0" w:color="auto"/>
        <w:left w:val="none" w:sz="0" w:space="0" w:color="auto"/>
        <w:bottom w:val="none" w:sz="0" w:space="0" w:color="auto"/>
        <w:right w:val="none" w:sz="0" w:space="0" w:color="auto"/>
      </w:divBdr>
    </w:div>
    <w:div w:id="1439175017">
      <w:bodyDiv w:val="1"/>
      <w:marLeft w:val="0"/>
      <w:marRight w:val="0"/>
      <w:marTop w:val="0"/>
      <w:marBottom w:val="0"/>
      <w:divBdr>
        <w:top w:val="none" w:sz="0" w:space="0" w:color="auto"/>
        <w:left w:val="none" w:sz="0" w:space="0" w:color="auto"/>
        <w:bottom w:val="none" w:sz="0" w:space="0" w:color="auto"/>
        <w:right w:val="none" w:sz="0" w:space="0" w:color="auto"/>
      </w:divBdr>
    </w:div>
    <w:div w:id="1440954592">
      <w:bodyDiv w:val="1"/>
      <w:marLeft w:val="0"/>
      <w:marRight w:val="0"/>
      <w:marTop w:val="0"/>
      <w:marBottom w:val="0"/>
      <w:divBdr>
        <w:top w:val="none" w:sz="0" w:space="0" w:color="auto"/>
        <w:left w:val="none" w:sz="0" w:space="0" w:color="auto"/>
        <w:bottom w:val="none" w:sz="0" w:space="0" w:color="auto"/>
        <w:right w:val="none" w:sz="0" w:space="0" w:color="auto"/>
      </w:divBdr>
    </w:div>
    <w:div w:id="1453549444">
      <w:bodyDiv w:val="1"/>
      <w:marLeft w:val="0"/>
      <w:marRight w:val="0"/>
      <w:marTop w:val="0"/>
      <w:marBottom w:val="0"/>
      <w:divBdr>
        <w:top w:val="none" w:sz="0" w:space="0" w:color="auto"/>
        <w:left w:val="none" w:sz="0" w:space="0" w:color="auto"/>
        <w:bottom w:val="none" w:sz="0" w:space="0" w:color="auto"/>
        <w:right w:val="none" w:sz="0" w:space="0" w:color="auto"/>
      </w:divBdr>
    </w:div>
    <w:div w:id="1476222304">
      <w:bodyDiv w:val="1"/>
      <w:marLeft w:val="0"/>
      <w:marRight w:val="0"/>
      <w:marTop w:val="0"/>
      <w:marBottom w:val="0"/>
      <w:divBdr>
        <w:top w:val="none" w:sz="0" w:space="0" w:color="auto"/>
        <w:left w:val="none" w:sz="0" w:space="0" w:color="auto"/>
        <w:bottom w:val="none" w:sz="0" w:space="0" w:color="auto"/>
        <w:right w:val="none" w:sz="0" w:space="0" w:color="auto"/>
      </w:divBdr>
    </w:div>
    <w:div w:id="1512799590">
      <w:bodyDiv w:val="1"/>
      <w:marLeft w:val="0"/>
      <w:marRight w:val="0"/>
      <w:marTop w:val="0"/>
      <w:marBottom w:val="0"/>
      <w:divBdr>
        <w:top w:val="none" w:sz="0" w:space="0" w:color="auto"/>
        <w:left w:val="none" w:sz="0" w:space="0" w:color="auto"/>
        <w:bottom w:val="none" w:sz="0" w:space="0" w:color="auto"/>
        <w:right w:val="none" w:sz="0" w:space="0" w:color="auto"/>
      </w:divBdr>
    </w:div>
    <w:div w:id="1517160459">
      <w:bodyDiv w:val="1"/>
      <w:marLeft w:val="0"/>
      <w:marRight w:val="0"/>
      <w:marTop w:val="0"/>
      <w:marBottom w:val="0"/>
      <w:divBdr>
        <w:top w:val="none" w:sz="0" w:space="0" w:color="auto"/>
        <w:left w:val="none" w:sz="0" w:space="0" w:color="auto"/>
        <w:bottom w:val="none" w:sz="0" w:space="0" w:color="auto"/>
        <w:right w:val="none" w:sz="0" w:space="0" w:color="auto"/>
      </w:divBdr>
    </w:div>
    <w:div w:id="1533837246">
      <w:bodyDiv w:val="1"/>
      <w:marLeft w:val="0"/>
      <w:marRight w:val="0"/>
      <w:marTop w:val="0"/>
      <w:marBottom w:val="0"/>
      <w:divBdr>
        <w:top w:val="none" w:sz="0" w:space="0" w:color="auto"/>
        <w:left w:val="none" w:sz="0" w:space="0" w:color="auto"/>
        <w:bottom w:val="none" w:sz="0" w:space="0" w:color="auto"/>
        <w:right w:val="none" w:sz="0" w:space="0" w:color="auto"/>
      </w:divBdr>
    </w:div>
    <w:div w:id="1541238577">
      <w:bodyDiv w:val="1"/>
      <w:marLeft w:val="0"/>
      <w:marRight w:val="0"/>
      <w:marTop w:val="0"/>
      <w:marBottom w:val="0"/>
      <w:divBdr>
        <w:top w:val="none" w:sz="0" w:space="0" w:color="auto"/>
        <w:left w:val="none" w:sz="0" w:space="0" w:color="auto"/>
        <w:bottom w:val="none" w:sz="0" w:space="0" w:color="auto"/>
        <w:right w:val="none" w:sz="0" w:space="0" w:color="auto"/>
      </w:divBdr>
    </w:div>
    <w:div w:id="1584875696">
      <w:bodyDiv w:val="1"/>
      <w:marLeft w:val="0"/>
      <w:marRight w:val="0"/>
      <w:marTop w:val="0"/>
      <w:marBottom w:val="0"/>
      <w:divBdr>
        <w:top w:val="none" w:sz="0" w:space="0" w:color="auto"/>
        <w:left w:val="none" w:sz="0" w:space="0" w:color="auto"/>
        <w:bottom w:val="none" w:sz="0" w:space="0" w:color="auto"/>
        <w:right w:val="none" w:sz="0" w:space="0" w:color="auto"/>
      </w:divBdr>
    </w:div>
    <w:div w:id="1593736998">
      <w:bodyDiv w:val="1"/>
      <w:marLeft w:val="0"/>
      <w:marRight w:val="0"/>
      <w:marTop w:val="0"/>
      <w:marBottom w:val="0"/>
      <w:divBdr>
        <w:top w:val="none" w:sz="0" w:space="0" w:color="auto"/>
        <w:left w:val="none" w:sz="0" w:space="0" w:color="auto"/>
        <w:bottom w:val="none" w:sz="0" w:space="0" w:color="auto"/>
        <w:right w:val="none" w:sz="0" w:space="0" w:color="auto"/>
      </w:divBdr>
    </w:div>
    <w:div w:id="1595824871">
      <w:bodyDiv w:val="1"/>
      <w:marLeft w:val="0"/>
      <w:marRight w:val="0"/>
      <w:marTop w:val="0"/>
      <w:marBottom w:val="0"/>
      <w:divBdr>
        <w:top w:val="none" w:sz="0" w:space="0" w:color="auto"/>
        <w:left w:val="none" w:sz="0" w:space="0" w:color="auto"/>
        <w:bottom w:val="none" w:sz="0" w:space="0" w:color="auto"/>
        <w:right w:val="none" w:sz="0" w:space="0" w:color="auto"/>
      </w:divBdr>
    </w:div>
    <w:div w:id="1614359111">
      <w:bodyDiv w:val="1"/>
      <w:marLeft w:val="0"/>
      <w:marRight w:val="0"/>
      <w:marTop w:val="0"/>
      <w:marBottom w:val="0"/>
      <w:divBdr>
        <w:top w:val="none" w:sz="0" w:space="0" w:color="auto"/>
        <w:left w:val="none" w:sz="0" w:space="0" w:color="auto"/>
        <w:bottom w:val="none" w:sz="0" w:space="0" w:color="auto"/>
        <w:right w:val="none" w:sz="0" w:space="0" w:color="auto"/>
      </w:divBdr>
    </w:div>
    <w:div w:id="1628776973">
      <w:bodyDiv w:val="1"/>
      <w:marLeft w:val="0"/>
      <w:marRight w:val="0"/>
      <w:marTop w:val="0"/>
      <w:marBottom w:val="0"/>
      <w:divBdr>
        <w:top w:val="none" w:sz="0" w:space="0" w:color="auto"/>
        <w:left w:val="none" w:sz="0" w:space="0" w:color="auto"/>
        <w:bottom w:val="none" w:sz="0" w:space="0" w:color="auto"/>
        <w:right w:val="none" w:sz="0" w:space="0" w:color="auto"/>
      </w:divBdr>
    </w:div>
    <w:div w:id="1661498806">
      <w:bodyDiv w:val="1"/>
      <w:marLeft w:val="0"/>
      <w:marRight w:val="0"/>
      <w:marTop w:val="0"/>
      <w:marBottom w:val="0"/>
      <w:divBdr>
        <w:top w:val="none" w:sz="0" w:space="0" w:color="auto"/>
        <w:left w:val="none" w:sz="0" w:space="0" w:color="auto"/>
        <w:bottom w:val="none" w:sz="0" w:space="0" w:color="auto"/>
        <w:right w:val="none" w:sz="0" w:space="0" w:color="auto"/>
      </w:divBdr>
    </w:div>
    <w:div w:id="1679504749">
      <w:bodyDiv w:val="1"/>
      <w:marLeft w:val="0"/>
      <w:marRight w:val="0"/>
      <w:marTop w:val="0"/>
      <w:marBottom w:val="0"/>
      <w:divBdr>
        <w:top w:val="none" w:sz="0" w:space="0" w:color="auto"/>
        <w:left w:val="none" w:sz="0" w:space="0" w:color="auto"/>
        <w:bottom w:val="none" w:sz="0" w:space="0" w:color="auto"/>
        <w:right w:val="none" w:sz="0" w:space="0" w:color="auto"/>
      </w:divBdr>
    </w:div>
    <w:div w:id="1699233765">
      <w:bodyDiv w:val="1"/>
      <w:marLeft w:val="0"/>
      <w:marRight w:val="0"/>
      <w:marTop w:val="0"/>
      <w:marBottom w:val="0"/>
      <w:divBdr>
        <w:top w:val="none" w:sz="0" w:space="0" w:color="auto"/>
        <w:left w:val="none" w:sz="0" w:space="0" w:color="auto"/>
        <w:bottom w:val="none" w:sz="0" w:space="0" w:color="auto"/>
        <w:right w:val="none" w:sz="0" w:space="0" w:color="auto"/>
      </w:divBdr>
    </w:div>
    <w:div w:id="1700812450">
      <w:bodyDiv w:val="1"/>
      <w:marLeft w:val="0"/>
      <w:marRight w:val="0"/>
      <w:marTop w:val="0"/>
      <w:marBottom w:val="0"/>
      <w:divBdr>
        <w:top w:val="none" w:sz="0" w:space="0" w:color="auto"/>
        <w:left w:val="none" w:sz="0" w:space="0" w:color="auto"/>
        <w:bottom w:val="none" w:sz="0" w:space="0" w:color="auto"/>
        <w:right w:val="none" w:sz="0" w:space="0" w:color="auto"/>
      </w:divBdr>
    </w:div>
    <w:div w:id="1760056115">
      <w:bodyDiv w:val="1"/>
      <w:marLeft w:val="0"/>
      <w:marRight w:val="0"/>
      <w:marTop w:val="0"/>
      <w:marBottom w:val="0"/>
      <w:divBdr>
        <w:top w:val="none" w:sz="0" w:space="0" w:color="auto"/>
        <w:left w:val="none" w:sz="0" w:space="0" w:color="auto"/>
        <w:bottom w:val="none" w:sz="0" w:space="0" w:color="auto"/>
        <w:right w:val="none" w:sz="0" w:space="0" w:color="auto"/>
      </w:divBdr>
    </w:div>
    <w:div w:id="1767534702">
      <w:bodyDiv w:val="1"/>
      <w:marLeft w:val="0"/>
      <w:marRight w:val="0"/>
      <w:marTop w:val="0"/>
      <w:marBottom w:val="0"/>
      <w:divBdr>
        <w:top w:val="none" w:sz="0" w:space="0" w:color="auto"/>
        <w:left w:val="none" w:sz="0" w:space="0" w:color="auto"/>
        <w:bottom w:val="none" w:sz="0" w:space="0" w:color="auto"/>
        <w:right w:val="none" w:sz="0" w:space="0" w:color="auto"/>
      </w:divBdr>
    </w:div>
    <w:div w:id="1772629730">
      <w:bodyDiv w:val="1"/>
      <w:marLeft w:val="0"/>
      <w:marRight w:val="0"/>
      <w:marTop w:val="0"/>
      <w:marBottom w:val="0"/>
      <w:divBdr>
        <w:top w:val="none" w:sz="0" w:space="0" w:color="auto"/>
        <w:left w:val="none" w:sz="0" w:space="0" w:color="auto"/>
        <w:bottom w:val="none" w:sz="0" w:space="0" w:color="auto"/>
        <w:right w:val="none" w:sz="0" w:space="0" w:color="auto"/>
      </w:divBdr>
    </w:div>
    <w:div w:id="1785152405">
      <w:bodyDiv w:val="1"/>
      <w:marLeft w:val="0"/>
      <w:marRight w:val="0"/>
      <w:marTop w:val="0"/>
      <w:marBottom w:val="0"/>
      <w:divBdr>
        <w:top w:val="none" w:sz="0" w:space="0" w:color="auto"/>
        <w:left w:val="none" w:sz="0" w:space="0" w:color="auto"/>
        <w:bottom w:val="none" w:sz="0" w:space="0" w:color="auto"/>
        <w:right w:val="none" w:sz="0" w:space="0" w:color="auto"/>
      </w:divBdr>
    </w:div>
    <w:div w:id="1801024325">
      <w:bodyDiv w:val="1"/>
      <w:marLeft w:val="0"/>
      <w:marRight w:val="0"/>
      <w:marTop w:val="0"/>
      <w:marBottom w:val="0"/>
      <w:divBdr>
        <w:top w:val="none" w:sz="0" w:space="0" w:color="auto"/>
        <w:left w:val="none" w:sz="0" w:space="0" w:color="auto"/>
        <w:bottom w:val="none" w:sz="0" w:space="0" w:color="auto"/>
        <w:right w:val="none" w:sz="0" w:space="0" w:color="auto"/>
      </w:divBdr>
    </w:div>
    <w:div w:id="1801192684">
      <w:bodyDiv w:val="1"/>
      <w:marLeft w:val="0"/>
      <w:marRight w:val="0"/>
      <w:marTop w:val="0"/>
      <w:marBottom w:val="0"/>
      <w:divBdr>
        <w:top w:val="none" w:sz="0" w:space="0" w:color="auto"/>
        <w:left w:val="none" w:sz="0" w:space="0" w:color="auto"/>
        <w:bottom w:val="none" w:sz="0" w:space="0" w:color="auto"/>
        <w:right w:val="none" w:sz="0" w:space="0" w:color="auto"/>
      </w:divBdr>
    </w:div>
    <w:div w:id="1839349446">
      <w:bodyDiv w:val="1"/>
      <w:marLeft w:val="0"/>
      <w:marRight w:val="0"/>
      <w:marTop w:val="0"/>
      <w:marBottom w:val="0"/>
      <w:divBdr>
        <w:top w:val="none" w:sz="0" w:space="0" w:color="auto"/>
        <w:left w:val="none" w:sz="0" w:space="0" w:color="auto"/>
        <w:bottom w:val="none" w:sz="0" w:space="0" w:color="auto"/>
        <w:right w:val="none" w:sz="0" w:space="0" w:color="auto"/>
      </w:divBdr>
    </w:div>
    <w:div w:id="1848251240">
      <w:bodyDiv w:val="1"/>
      <w:marLeft w:val="0"/>
      <w:marRight w:val="0"/>
      <w:marTop w:val="0"/>
      <w:marBottom w:val="0"/>
      <w:divBdr>
        <w:top w:val="none" w:sz="0" w:space="0" w:color="auto"/>
        <w:left w:val="none" w:sz="0" w:space="0" w:color="auto"/>
        <w:bottom w:val="none" w:sz="0" w:space="0" w:color="auto"/>
        <w:right w:val="none" w:sz="0" w:space="0" w:color="auto"/>
      </w:divBdr>
    </w:div>
    <w:div w:id="1906377115">
      <w:bodyDiv w:val="1"/>
      <w:marLeft w:val="0"/>
      <w:marRight w:val="0"/>
      <w:marTop w:val="0"/>
      <w:marBottom w:val="0"/>
      <w:divBdr>
        <w:top w:val="none" w:sz="0" w:space="0" w:color="auto"/>
        <w:left w:val="none" w:sz="0" w:space="0" w:color="auto"/>
        <w:bottom w:val="none" w:sz="0" w:space="0" w:color="auto"/>
        <w:right w:val="none" w:sz="0" w:space="0" w:color="auto"/>
      </w:divBdr>
    </w:div>
    <w:div w:id="1908763494">
      <w:bodyDiv w:val="1"/>
      <w:marLeft w:val="0"/>
      <w:marRight w:val="0"/>
      <w:marTop w:val="0"/>
      <w:marBottom w:val="0"/>
      <w:divBdr>
        <w:top w:val="none" w:sz="0" w:space="0" w:color="auto"/>
        <w:left w:val="none" w:sz="0" w:space="0" w:color="auto"/>
        <w:bottom w:val="none" w:sz="0" w:space="0" w:color="auto"/>
        <w:right w:val="none" w:sz="0" w:space="0" w:color="auto"/>
      </w:divBdr>
    </w:div>
    <w:div w:id="1936984921">
      <w:bodyDiv w:val="1"/>
      <w:marLeft w:val="0"/>
      <w:marRight w:val="0"/>
      <w:marTop w:val="0"/>
      <w:marBottom w:val="0"/>
      <w:divBdr>
        <w:top w:val="none" w:sz="0" w:space="0" w:color="auto"/>
        <w:left w:val="none" w:sz="0" w:space="0" w:color="auto"/>
        <w:bottom w:val="none" w:sz="0" w:space="0" w:color="auto"/>
        <w:right w:val="none" w:sz="0" w:space="0" w:color="auto"/>
      </w:divBdr>
    </w:div>
    <w:div w:id="1937404574">
      <w:bodyDiv w:val="1"/>
      <w:marLeft w:val="0"/>
      <w:marRight w:val="0"/>
      <w:marTop w:val="0"/>
      <w:marBottom w:val="0"/>
      <w:divBdr>
        <w:top w:val="none" w:sz="0" w:space="0" w:color="auto"/>
        <w:left w:val="none" w:sz="0" w:space="0" w:color="auto"/>
        <w:bottom w:val="none" w:sz="0" w:space="0" w:color="auto"/>
        <w:right w:val="none" w:sz="0" w:space="0" w:color="auto"/>
      </w:divBdr>
    </w:div>
    <w:div w:id="1938632437">
      <w:bodyDiv w:val="1"/>
      <w:marLeft w:val="0"/>
      <w:marRight w:val="0"/>
      <w:marTop w:val="0"/>
      <w:marBottom w:val="0"/>
      <w:divBdr>
        <w:top w:val="none" w:sz="0" w:space="0" w:color="auto"/>
        <w:left w:val="none" w:sz="0" w:space="0" w:color="auto"/>
        <w:bottom w:val="none" w:sz="0" w:space="0" w:color="auto"/>
        <w:right w:val="none" w:sz="0" w:space="0" w:color="auto"/>
      </w:divBdr>
    </w:div>
    <w:div w:id="1967540981">
      <w:bodyDiv w:val="1"/>
      <w:marLeft w:val="0"/>
      <w:marRight w:val="0"/>
      <w:marTop w:val="0"/>
      <w:marBottom w:val="0"/>
      <w:divBdr>
        <w:top w:val="none" w:sz="0" w:space="0" w:color="auto"/>
        <w:left w:val="none" w:sz="0" w:space="0" w:color="auto"/>
        <w:bottom w:val="none" w:sz="0" w:space="0" w:color="auto"/>
        <w:right w:val="none" w:sz="0" w:space="0" w:color="auto"/>
      </w:divBdr>
    </w:div>
    <w:div w:id="1972248090">
      <w:bodyDiv w:val="1"/>
      <w:marLeft w:val="0"/>
      <w:marRight w:val="0"/>
      <w:marTop w:val="0"/>
      <w:marBottom w:val="0"/>
      <w:divBdr>
        <w:top w:val="none" w:sz="0" w:space="0" w:color="auto"/>
        <w:left w:val="none" w:sz="0" w:space="0" w:color="auto"/>
        <w:bottom w:val="none" w:sz="0" w:space="0" w:color="auto"/>
        <w:right w:val="none" w:sz="0" w:space="0" w:color="auto"/>
      </w:divBdr>
    </w:div>
    <w:div w:id="1977834565">
      <w:bodyDiv w:val="1"/>
      <w:marLeft w:val="0"/>
      <w:marRight w:val="0"/>
      <w:marTop w:val="0"/>
      <w:marBottom w:val="0"/>
      <w:divBdr>
        <w:top w:val="none" w:sz="0" w:space="0" w:color="auto"/>
        <w:left w:val="none" w:sz="0" w:space="0" w:color="auto"/>
        <w:bottom w:val="none" w:sz="0" w:space="0" w:color="auto"/>
        <w:right w:val="none" w:sz="0" w:space="0" w:color="auto"/>
      </w:divBdr>
    </w:div>
    <w:div w:id="2013948390">
      <w:bodyDiv w:val="1"/>
      <w:marLeft w:val="0"/>
      <w:marRight w:val="0"/>
      <w:marTop w:val="0"/>
      <w:marBottom w:val="0"/>
      <w:divBdr>
        <w:top w:val="none" w:sz="0" w:space="0" w:color="auto"/>
        <w:left w:val="none" w:sz="0" w:space="0" w:color="auto"/>
        <w:bottom w:val="none" w:sz="0" w:space="0" w:color="auto"/>
        <w:right w:val="none" w:sz="0" w:space="0" w:color="auto"/>
      </w:divBdr>
    </w:div>
    <w:div w:id="2033677512">
      <w:bodyDiv w:val="1"/>
      <w:marLeft w:val="0"/>
      <w:marRight w:val="0"/>
      <w:marTop w:val="0"/>
      <w:marBottom w:val="0"/>
      <w:divBdr>
        <w:top w:val="none" w:sz="0" w:space="0" w:color="auto"/>
        <w:left w:val="none" w:sz="0" w:space="0" w:color="auto"/>
        <w:bottom w:val="none" w:sz="0" w:space="0" w:color="auto"/>
        <w:right w:val="none" w:sz="0" w:space="0" w:color="auto"/>
      </w:divBdr>
    </w:div>
    <w:div w:id="2039237339">
      <w:bodyDiv w:val="1"/>
      <w:marLeft w:val="0"/>
      <w:marRight w:val="0"/>
      <w:marTop w:val="0"/>
      <w:marBottom w:val="0"/>
      <w:divBdr>
        <w:top w:val="none" w:sz="0" w:space="0" w:color="auto"/>
        <w:left w:val="none" w:sz="0" w:space="0" w:color="auto"/>
        <w:bottom w:val="none" w:sz="0" w:space="0" w:color="auto"/>
        <w:right w:val="none" w:sz="0" w:space="0" w:color="auto"/>
      </w:divBdr>
    </w:div>
    <w:div w:id="2043357775">
      <w:bodyDiv w:val="1"/>
      <w:marLeft w:val="0"/>
      <w:marRight w:val="0"/>
      <w:marTop w:val="0"/>
      <w:marBottom w:val="0"/>
      <w:divBdr>
        <w:top w:val="none" w:sz="0" w:space="0" w:color="auto"/>
        <w:left w:val="none" w:sz="0" w:space="0" w:color="auto"/>
        <w:bottom w:val="none" w:sz="0" w:space="0" w:color="auto"/>
        <w:right w:val="none" w:sz="0" w:space="0" w:color="auto"/>
      </w:divBdr>
    </w:div>
    <w:div w:id="2044094816">
      <w:bodyDiv w:val="1"/>
      <w:marLeft w:val="0"/>
      <w:marRight w:val="0"/>
      <w:marTop w:val="0"/>
      <w:marBottom w:val="0"/>
      <w:divBdr>
        <w:top w:val="none" w:sz="0" w:space="0" w:color="auto"/>
        <w:left w:val="none" w:sz="0" w:space="0" w:color="auto"/>
        <w:bottom w:val="none" w:sz="0" w:space="0" w:color="auto"/>
        <w:right w:val="none" w:sz="0" w:space="0" w:color="auto"/>
      </w:divBdr>
    </w:div>
    <w:div w:id="2046362950">
      <w:bodyDiv w:val="1"/>
      <w:marLeft w:val="0"/>
      <w:marRight w:val="0"/>
      <w:marTop w:val="0"/>
      <w:marBottom w:val="0"/>
      <w:divBdr>
        <w:top w:val="none" w:sz="0" w:space="0" w:color="auto"/>
        <w:left w:val="none" w:sz="0" w:space="0" w:color="auto"/>
        <w:bottom w:val="none" w:sz="0" w:space="0" w:color="auto"/>
        <w:right w:val="none" w:sz="0" w:space="0" w:color="auto"/>
      </w:divBdr>
    </w:div>
    <w:div w:id="2054504042">
      <w:bodyDiv w:val="1"/>
      <w:marLeft w:val="0"/>
      <w:marRight w:val="0"/>
      <w:marTop w:val="0"/>
      <w:marBottom w:val="0"/>
      <w:divBdr>
        <w:top w:val="none" w:sz="0" w:space="0" w:color="auto"/>
        <w:left w:val="none" w:sz="0" w:space="0" w:color="auto"/>
        <w:bottom w:val="none" w:sz="0" w:space="0" w:color="auto"/>
        <w:right w:val="none" w:sz="0" w:space="0" w:color="auto"/>
      </w:divBdr>
    </w:div>
    <w:div w:id="2057661217">
      <w:bodyDiv w:val="1"/>
      <w:marLeft w:val="0"/>
      <w:marRight w:val="0"/>
      <w:marTop w:val="0"/>
      <w:marBottom w:val="0"/>
      <w:divBdr>
        <w:top w:val="none" w:sz="0" w:space="0" w:color="auto"/>
        <w:left w:val="none" w:sz="0" w:space="0" w:color="auto"/>
        <w:bottom w:val="none" w:sz="0" w:space="0" w:color="auto"/>
        <w:right w:val="none" w:sz="0" w:space="0" w:color="auto"/>
      </w:divBdr>
    </w:div>
    <w:div w:id="2116898428">
      <w:bodyDiv w:val="1"/>
      <w:marLeft w:val="0"/>
      <w:marRight w:val="0"/>
      <w:marTop w:val="0"/>
      <w:marBottom w:val="0"/>
      <w:divBdr>
        <w:top w:val="none" w:sz="0" w:space="0" w:color="auto"/>
        <w:left w:val="none" w:sz="0" w:space="0" w:color="auto"/>
        <w:bottom w:val="none" w:sz="0" w:space="0" w:color="auto"/>
        <w:right w:val="none" w:sz="0" w:space="0" w:color="auto"/>
      </w:divBdr>
    </w:div>
    <w:div w:id="2124300377">
      <w:bodyDiv w:val="1"/>
      <w:marLeft w:val="0"/>
      <w:marRight w:val="0"/>
      <w:marTop w:val="0"/>
      <w:marBottom w:val="0"/>
      <w:divBdr>
        <w:top w:val="none" w:sz="0" w:space="0" w:color="auto"/>
        <w:left w:val="none" w:sz="0" w:space="0" w:color="auto"/>
        <w:bottom w:val="none" w:sz="0" w:space="0" w:color="auto"/>
        <w:right w:val="none" w:sz="0" w:space="0" w:color="auto"/>
      </w:divBdr>
    </w:div>
    <w:div w:id="2124953681">
      <w:bodyDiv w:val="1"/>
      <w:marLeft w:val="0"/>
      <w:marRight w:val="0"/>
      <w:marTop w:val="0"/>
      <w:marBottom w:val="0"/>
      <w:divBdr>
        <w:top w:val="none" w:sz="0" w:space="0" w:color="auto"/>
        <w:left w:val="none" w:sz="0" w:space="0" w:color="auto"/>
        <w:bottom w:val="none" w:sz="0" w:space="0" w:color="auto"/>
        <w:right w:val="none" w:sz="0" w:space="0" w:color="auto"/>
      </w:divBdr>
    </w:div>
    <w:div w:id="2125886040">
      <w:bodyDiv w:val="1"/>
      <w:marLeft w:val="0"/>
      <w:marRight w:val="0"/>
      <w:marTop w:val="0"/>
      <w:marBottom w:val="0"/>
      <w:divBdr>
        <w:top w:val="none" w:sz="0" w:space="0" w:color="auto"/>
        <w:left w:val="none" w:sz="0" w:space="0" w:color="auto"/>
        <w:bottom w:val="none" w:sz="0" w:space="0" w:color="auto"/>
        <w:right w:val="none" w:sz="0" w:space="0" w:color="auto"/>
      </w:divBdr>
    </w:div>
    <w:div w:id="2133471811">
      <w:bodyDiv w:val="1"/>
      <w:marLeft w:val="0"/>
      <w:marRight w:val="0"/>
      <w:marTop w:val="0"/>
      <w:marBottom w:val="0"/>
      <w:divBdr>
        <w:top w:val="none" w:sz="0" w:space="0" w:color="auto"/>
        <w:left w:val="none" w:sz="0" w:space="0" w:color="auto"/>
        <w:bottom w:val="none" w:sz="0" w:space="0" w:color="auto"/>
        <w:right w:val="none" w:sz="0" w:space="0" w:color="auto"/>
      </w:divBdr>
    </w:div>
    <w:div w:id="21342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13" Type="http://schemas.openxmlformats.org/officeDocument/2006/relationships/hyperlink" Target="https://www.legifrance.gouv.fr/download/pdf?id=N3X_zXRSVMq5BvtqYri7ZTFlVRKUN-sUNk3r-G5ek4A=" TargetMode="External"/><Relationship Id="rId18" Type="http://schemas.openxmlformats.org/officeDocument/2006/relationships/hyperlink" Target="https://www.legifrance.gouv.fr/download/pdf?id=YD2WZF5QApvroCIp91zabGkcBJxiewM6c-LqiFcIJkI=" TargetMode="External"/><Relationship Id="rId26" Type="http://schemas.openxmlformats.org/officeDocument/2006/relationships/hyperlink" Target="https://www.legifrance.gouv.fr/download/pdf?id=cgoT2shUC4j_CSVUsEOCva38cKGNTdip-H2yghvSZQU="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legifrance.gouv.fr/download/pdf?id=N3X_zXRSVMq5BvtqYri7ZRzaYrznaNvF4RQRdamPQkc=" TargetMode="External"/><Relationship Id="rId34" Type="http://schemas.openxmlformats.org/officeDocument/2006/relationships/hyperlink" Target="https://www.legifrance.gouv.fr/download/pdf?id=gszg09Ki5-XxK6OGH6KzY6_RnHomPM8tT8dp-lOuYrs=" TargetMode="External"/><Relationship Id="rId7" Type="http://schemas.openxmlformats.org/officeDocument/2006/relationships/endnotes" Target="endnotes.xml"/><Relationship Id="rId12" Type="http://schemas.openxmlformats.org/officeDocument/2006/relationships/hyperlink" Target="https://www.legifrance.gouv.fr/download/pdf?id=_9O260PCHVRKfnYduOYb0ifC2n2JIx8Uaz9MK_h2w_c=" TargetMode="External"/><Relationship Id="rId17" Type="http://schemas.openxmlformats.org/officeDocument/2006/relationships/hyperlink" Target="https://www.legifrance.gouv.fr/download/pdf?id=YD2WZF5QApvroCIp91zabK6LX11H3o62r_82R6Ql5Bg=" TargetMode="External"/><Relationship Id="rId25" Type="http://schemas.openxmlformats.org/officeDocument/2006/relationships/hyperlink" Target="https://www.legifrance.gouv.fr/download/pdf?id=XNWi50p_EeY4uCscbkXG15JY5q0hBbKeRuS6MGrdKkw=" TargetMode="External"/><Relationship Id="rId33" Type="http://schemas.openxmlformats.org/officeDocument/2006/relationships/hyperlink" Target="https://www.legifrance.gouv.fr/download/pdf?id=gszg09Ki5-XxK6OGH6KzYxR1yZbGCzCoPVQkMu7aliM=" TargetMode="External"/><Relationship Id="rId38" Type="http://schemas.openxmlformats.org/officeDocument/2006/relationships/hyperlink" Target="https://www.legifrance.gouv.fr/download/pdf?id=Ruv7TFCp0hkYeMD0uAbyBNCXZ2OTtqtdiV0iW9kWfKY=" TargetMode="External"/><Relationship Id="rId2" Type="http://schemas.openxmlformats.org/officeDocument/2006/relationships/numbering" Target="numbering.xml"/><Relationship Id="rId16" Type="http://schemas.openxmlformats.org/officeDocument/2006/relationships/hyperlink" Target="https://www.legifrance.gouv.fr/download/pdf?id=YD2WZF5QApvroCIp91zabLmpoFhR61mGJ7APKjTA6As=" TargetMode="External"/><Relationship Id="rId20" Type="http://schemas.openxmlformats.org/officeDocument/2006/relationships/hyperlink" Target="https://www.legifrance.gouv.fr/download/pdf?id=N3X_zXRSVMq5BvtqYri7ZT5KyMHM7prSSFt2fLcI5jk=" TargetMode="External"/><Relationship Id="rId29" Type="http://schemas.openxmlformats.org/officeDocument/2006/relationships/hyperlink" Target="https://www.legifrance.gouv.fr/download/pdf?id=nm99WLQ36dhi3XMU82ijXGWXdZTHIv84XIt-7CAT-z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download/pdf?id=cgoT2shUC4j_CSVUsEOCvShr-pozVDx7PfQAR7cq3Us=" TargetMode="External"/><Relationship Id="rId24" Type="http://schemas.openxmlformats.org/officeDocument/2006/relationships/hyperlink" Target="https://www.legifrance.gouv.fr/download/pdf?id=Ruv7TFCp0hkYeMD0uAbyBNCWae1u63ZO6Nh5ySR3wgs=" TargetMode="External"/><Relationship Id="rId32" Type="http://schemas.openxmlformats.org/officeDocument/2006/relationships/hyperlink" Target="https://www.legifrance.gouv.fr/download/pdf?id=gszg09Ki5-XxK6OGH6KzYxqAan03mhLJC5z3cVMEAsc=" TargetMode="External"/><Relationship Id="rId37" Type="http://schemas.openxmlformats.org/officeDocument/2006/relationships/hyperlink" Target="https://www.legifrance.gouv.fr/download/pdf?id=Ruv7TFCp0hkYeMD0uAbyBI3hUcjMR6C_TefIEFsfgCw="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france.gouv.fr/download/pdf?id=YD2WZF5QApvroCIp91zabBUb5qYpQSm_piNju56jLx8=" TargetMode="External"/><Relationship Id="rId23" Type="http://schemas.openxmlformats.org/officeDocument/2006/relationships/hyperlink" Target="https://www.legifrance.gouv.fr/download/pdf?id=Ruv7TFCp0hkYeMD0uAbyBGtc_Fh71x9KoG_z3damffY=" TargetMode="External"/><Relationship Id="rId28" Type="http://schemas.openxmlformats.org/officeDocument/2006/relationships/hyperlink" Target="https://www.legifrance.gouv.fr/download/pdf?id=nm99WLQ36dhi3XMU82ijXMZHK2jOzYkkai14DJR3cmU=" TargetMode="External"/><Relationship Id="rId36" Type="http://schemas.openxmlformats.org/officeDocument/2006/relationships/hyperlink" Target="https://www.legifrance.gouv.fr/download/pdf?id=D08zc9oPBwiRRFRfBj7OcCfJvp_yqT8SIiOnWW6Q0Fc=" TargetMode="External"/><Relationship Id="rId10" Type="http://schemas.openxmlformats.org/officeDocument/2006/relationships/hyperlink" Target="https://www.legifrance.gouv.fr/download/pdf?id=cgoT2shUC4j_CSVUsEOCvewD-lQnj8EG78BD08U7ANE=" TargetMode="External"/><Relationship Id="rId19" Type="http://schemas.openxmlformats.org/officeDocument/2006/relationships/hyperlink" Target="https://www.legifrance.gouv.fr/download/pdf?id=cgoT2shUC4j_CSVUsEOCvSBTeN2gKVrvqLBncL23CaI=" TargetMode="External"/><Relationship Id="rId31" Type="http://schemas.openxmlformats.org/officeDocument/2006/relationships/hyperlink" Target="https://www.legifrance.gouv.fr/download/pdf?id=dowK-Y8OlvYJhYmpZ2duz7j1eH6w-xJoB6-2bmLS9gg=" TargetMode="External"/><Relationship Id="rId4" Type="http://schemas.openxmlformats.org/officeDocument/2006/relationships/settings" Target="settings.xml"/><Relationship Id="rId9" Type="http://schemas.openxmlformats.org/officeDocument/2006/relationships/hyperlink" Target="https://www.legifrance.gouv.fr/download/pdf?id=Ruv7TFCp0hkYeMD0uAbyBLwrz_FxX4n3ui1wgdsrojQ=" TargetMode="External"/><Relationship Id="rId14" Type="http://schemas.openxmlformats.org/officeDocument/2006/relationships/hyperlink" Target="https://www.legifrance.gouv.fr/download/pdf?id=N3X_zXRSVMq5BvtqYri7ZcZHK2jOzYkkai14DJR3cmU=" TargetMode="External"/><Relationship Id="rId22" Type="http://schemas.openxmlformats.org/officeDocument/2006/relationships/hyperlink" Target="https://www.legifrance.gouv.fr/download/pdf?id=Ruv7TFCp0hkYeMD0uAbyBLLRPUtKNSw_DzSHjt1DoHk=" TargetMode="External"/><Relationship Id="rId27" Type="http://schemas.openxmlformats.org/officeDocument/2006/relationships/hyperlink" Target="https://www.legifrance.gouv.fr/download/pdf?id=D08zc9oPBwiRRFRfBj7OcN_UBFOozErfaZVolAXJB2Q=" TargetMode="External"/><Relationship Id="rId30" Type="http://schemas.openxmlformats.org/officeDocument/2006/relationships/hyperlink" Target="https://www.legifrance.gouv.fr/download/pdf?id=dowK-Y8OlvYJhYmpZ2duz6E7zNsiFZL-4wqNyqoY-CA=" TargetMode="External"/><Relationship Id="rId35" Type="http://schemas.openxmlformats.org/officeDocument/2006/relationships/hyperlink" Target="https://www.legifrance.gouv.fr/download/pdf?id=AAHnYchBKgA9O0L2iauzNgVq-2Yhrqjdh8OV3--WPN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C6241-2FEF-4D9F-A581-CF37ED170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10</Pages>
  <Words>4059</Words>
  <Characters>22328</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Jean-Marc Piatek</dc:creator>
  <cp:keywords/>
  <dc:description/>
  <cp:lastModifiedBy>Jean-Marc Piatek</cp:lastModifiedBy>
  <cp:revision>332</cp:revision>
  <dcterms:created xsi:type="dcterms:W3CDTF">2025-12-12T09:55:00Z</dcterms:created>
  <dcterms:modified xsi:type="dcterms:W3CDTF">2026-07-17T12:59:00Z</dcterms:modified>
</cp:coreProperties>
</file>