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C2E" w:rsidRPr="00A858BD" w:rsidRDefault="006A1C2E" w:rsidP="006A1C2E">
      <w:pPr>
        <w:shd w:val="clear" w:color="auto" w:fill="E7E6E6" w:themeFill="background2"/>
        <w:rPr>
          <w:b/>
          <w:i/>
          <w:sz w:val="28"/>
          <w:szCs w:val="28"/>
        </w:rPr>
      </w:pPr>
      <w:bookmarkStart w:id="0" w:name="_Hlk37146577"/>
      <w:r w:rsidRPr="00A858BD">
        <w:rPr>
          <w:b/>
          <w:i/>
          <w:sz w:val="28"/>
          <w:szCs w:val="28"/>
        </w:rPr>
        <w:t>Veille réglementaire</w:t>
      </w:r>
      <w:r>
        <w:rPr>
          <w:b/>
          <w:i/>
          <w:sz w:val="28"/>
          <w:szCs w:val="28"/>
        </w:rPr>
        <w:t xml:space="preserve"> #</w:t>
      </w:r>
      <w:r w:rsidR="00BF4A50">
        <w:rPr>
          <w:b/>
          <w:i/>
          <w:sz w:val="28"/>
          <w:szCs w:val="28"/>
        </w:rPr>
        <w:t>avril</w:t>
      </w:r>
      <w:r>
        <w:rPr>
          <w:b/>
          <w:i/>
          <w:sz w:val="28"/>
          <w:szCs w:val="28"/>
        </w:rPr>
        <w:t xml:space="preserve"> 202</w:t>
      </w:r>
      <w:r w:rsidR="00FA6690">
        <w:rPr>
          <w:b/>
          <w:i/>
          <w:sz w:val="28"/>
          <w:szCs w:val="28"/>
        </w:rPr>
        <w:t>6</w:t>
      </w:r>
    </w:p>
    <w:p w:rsidR="006A1C2E" w:rsidRDefault="006A1C2E" w:rsidP="006A1C2E"/>
    <w:p w:rsidR="006A1C2E" w:rsidRDefault="006A1C2E" w:rsidP="006A1C2E"/>
    <w:p w:rsidR="006A1C2E" w:rsidRDefault="00E53CE0" w:rsidP="006A1C2E">
      <w:pPr>
        <w:jc w:val="both"/>
      </w:pPr>
      <w:r>
        <w:t>Le département Maîtrise de l’Energie de l’ATEE</w:t>
      </w:r>
      <w:r w:rsidR="00A67E1F">
        <w:t>,</w:t>
      </w:r>
      <w:r>
        <w:t xml:space="preserve"> </w:t>
      </w:r>
      <w:r w:rsidR="006A1C2E">
        <w:t>vous propos</w:t>
      </w:r>
      <w:r>
        <w:t>e</w:t>
      </w:r>
      <w:r w:rsidR="006A1C2E">
        <w:t xml:space="preserve"> </w:t>
      </w:r>
      <w:r>
        <w:t>une</w:t>
      </w:r>
      <w:r w:rsidR="006A1C2E">
        <w:t xml:space="preserve"> sélection mensuelle des textes réglementaires </w:t>
      </w:r>
      <w:r w:rsidR="00717692">
        <w:t>à</w:t>
      </w:r>
      <w:r w:rsidR="006A1C2E">
        <w:t xml:space="preserve"> laquelle </w:t>
      </w:r>
      <w:r w:rsidR="00717692">
        <w:t xml:space="preserve">sont liés </w:t>
      </w:r>
      <w:r w:rsidR="006A1C2E">
        <w:t xml:space="preserve">les thèmes de la maîtrise de l’énergie, l’efficacité énergétique, l’environnement et plus amplement la décarbonation. </w:t>
      </w:r>
    </w:p>
    <w:p w:rsidR="006A1C2E" w:rsidRDefault="006A1C2E" w:rsidP="006A1C2E">
      <w:pPr>
        <w:jc w:val="both"/>
      </w:pPr>
    </w:p>
    <w:bookmarkEnd w:id="0"/>
    <w:p w:rsidR="006A1C2E" w:rsidRDefault="00A67E1F" w:rsidP="006A1C2E">
      <w:pPr>
        <w:jc w:val="both"/>
      </w:pPr>
      <w:r>
        <w:t xml:space="preserve">Elle </w:t>
      </w:r>
      <w:r w:rsidR="006A1C2E" w:rsidRPr="0042040E">
        <w:t xml:space="preserve">s'adresse en premier </w:t>
      </w:r>
      <w:r>
        <w:t xml:space="preserve">lieu </w:t>
      </w:r>
      <w:r w:rsidR="006A1C2E" w:rsidRPr="0042040E">
        <w:t xml:space="preserve">aux </w:t>
      </w:r>
      <w:r>
        <w:t xml:space="preserve">personnes en charge de gérer les économies d’énergie et la décarbonation dans l’industrie qui ne </w:t>
      </w:r>
      <w:r w:rsidR="006A1C2E" w:rsidRPr="0042040E">
        <w:t>dispos</w:t>
      </w:r>
      <w:r>
        <w:t>e</w:t>
      </w:r>
      <w:r w:rsidR="006A1C2E" w:rsidRPr="0042040E">
        <w:t>nt pas de service de veille</w:t>
      </w:r>
      <w:r w:rsidR="006A1C2E">
        <w:t xml:space="preserve"> en interne</w:t>
      </w:r>
      <w:r>
        <w:t>, p</w:t>
      </w:r>
      <w:r w:rsidR="006A1C2E">
        <w:t>uis</w:t>
      </w:r>
      <w:r>
        <w:t xml:space="preserve"> </w:t>
      </w:r>
      <w:r w:rsidR="006A1C2E">
        <w:t>à tous ceux qui souhaitent consolider leur connaissance sur la réglementation.</w:t>
      </w:r>
    </w:p>
    <w:p w:rsidR="006A1C2E" w:rsidRDefault="006A1C2E" w:rsidP="006A1C2E">
      <w:pPr>
        <w:jc w:val="both"/>
      </w:pPr>
    </w:p>
    <w:p w:rsidR="00C44074" w:rsidRDefault="00C44074" w:rsidP="00C44074">
      <w:pPr>
        <w:jc w:val="both"/>
      </w:pPr>
      <w:r>
        <w:t xml:space="preserve">Pour rappel, notre veille réglementaire </w:t>
      </w:r>
      <w:r w:rsidRPr="00457C1A">
        <w:t>est obtenue à partir des textes législatifs et réglementaires</w:t>
      </w:r>
      <w:r>
        <w:t>,</w:t>
      </w:r>
      <w:r w:rsidRPr="00457C1A">
        <w:t xml:space="preserve"> édités par </w:t>
      </w:r>
      <w:proofErr w:type="spellStart"/>
      <w:r w:rsidRPr="00E53CE0">
        <w:rPr>
          <w:i/>
        </w:rPr>
        <w:t>Legifrance</w:t>
      </w:r>
      <w:proofErr w:type="spellEnd"/>
      <w:r>
        <w:t>, le</w:t>
      </w:r>
      <w:r w:rsidRPr="00E53CE0">
        <w:rPr>
          <w:i/>
        </w:rPr>
        <w:t xml:space="preserve"> </w:t>
      </w:r>
      <w:r w:rsidRPr="00457C1A">
        <w:t>service public de la diffusion du droit par l'Internet.</w:t>
      </w:r>
      <w:r w:rsidR="00B11543">
        <w:t xml:space="preserve"> Elle ne fait l’objet d’aucune sous-traitance.</w:t>
      </w:r>
    </w:p>
    <w:p w:rsidR="00C44074" w:rsidRDefault="00C44074" w:rsidP="00C44074">
      <w:pPr>
        <w:jc w:val="both"/>
      </w:pPr>
    </w:p>
    <w:p w:rsidR="006A1C2E" w:rsidRDefault="00DC0BB1" w:rsidP="006A1C2E">
      <w:pPr>
        <w:jc w:val="both"/>
      </w:pPr>
      <w:r w:rsidRPr="00DC0BB1">
        <w:t>La</w:t>
      </w:r>
      <w:r w:rsidR="006A1C2E" w:rsidRPr="00DC0BB1">
        <w:t xml:space="preserve"> </w:t>
      </w:r>
      <w:r w:rsidR="006A1C2E">
        <w:t xml:space="preserve">réglementation est en permanente évolution, il peut arriver que certains textes présentés dans notre veille réglementaire aient déjà fait l’objet, dans l’entretemps, d’une modification : consultez toujours la dernière version en vigueur sur le site </w:t>
      </w:r>
      <w:hyperlink r:id="rId8" w:history="1">
        <w:r w:rsidR="006A1C2E" w:rsidRPr="00C12479">
          <w:rPr>
            <w:rStyle w:val="Lienhypertexte"/>
          </w:rPr>
          <w:t>www.legifrance.gouv.fr</w:t>
        </w:r>
      </w:hyperlink>
      <w:r w:rsidR="006A1C2E">
        <w:t>.</w:t>
      </w:r>
    </w:p>
    <w:p w:rsidR="006A1C2E" w:rsidRDefault="006A1C2E" w:rsidP="00EB5104">
      <w:pPr>
        <w:pStyle w:val="Textebrut"/>
      </w:pPr>
    </w:p>
    <w:p w:rsidR="00DC0BB1" w:rsidRDefault="00DC0BB1" w:rsidP="00EB5104">
      <w:pPr>
        <w:pStyle w:val="Textebrut"/>
      </w:pPr>
    </w:p>
    <w:p w:rsidR="00481309" w:rsidRDefault="00481309" w:rsidP="00EB5104">
      <w:pPr>
        <w:pStyle w:val="Textebrut"/>
      </w:pPr>
    </w:p>
    <w:sdt>
      <w:sdtPr>
        <w:rPr>
          <w:rFonts w:asciiTheme="minorHAnsi" w:eastAsiaTheme="minorHAnsi" w:hAnsiTheme="minorHAnsi" w:cstheme="minorBidi"/>
          <w:color w:val="auto"/>
          <w:sz w:val="22"/>
          <w:szCs w:val="22"/>
          <w:lang w:eastAsia="en-US"/>
        </w:rPr>
        <w:id w:val="-1808469591"/>
        <w:docPartObj>
          <w:docPartGallery w:val="Table of Contents"/>
          <w:docPartUnique/>
        </w:docPartObj>
      </w:sdtPr>
      <w:sdtEndPr>
        <w:rPr>
          <w:b/>
          <w:bCs/>
        </w:rPr>
      </w:sdtEndPr>
      <w:sdtContent>
        <w:p w:rsidR="00481309" w:rsidRDefault="00481309">
          <w:pPr>
            <w:pStyle w:val="En-ttedetabledesmatires"/>
          </w:pPr>
          <w:r>
            <w:t>Table des matières</w:t>
          </w:r>
        </w:p>
        <w:p w:rsidR="00C25958" w:rsidRDefault="00481309">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28798091" w:history="1">
            <w:r w:rsidR="00C25958" w:rsidRPr="00E61F06">
              <w:rPr>
                <w:rStyle w:val="Lienhypertexte"/>
                <w:noProof/>
              </w:rPr>
              <w:t>Certification professionnelle</w:t>
            </w:r>
            <w:r w:rsidR="00C25958">
              <w:rPr>
                <w:noProof/>
                <w:webHidden/>
              </w:rPr>
              <w:tab/>
            </w:r>
            <w:r w:rsidR="00C25958">
              <w:rPr>
                <w:noProof/>
                <w:webHidden/>
              </w:rPr>
              <w:fldChar w:fldCharType="begin"/>
            </w:r>
            <w:r w:rsidR="00C25958">
              <w:rPr>
                <w:noProof/>
                <w:webHidden/>
              </w:rPr>
              <w:instrText xml:space="preserve"> PAGEREF _Toc228798091 \h </w:instrText>
            </w:r>
            <w:r w:rsidR="00C25958">
              <w:rPr>
                <w:noProof/>
                <w:webHidden/>
              </w:rPr>
            </w:r>
            <w:r w:rsidR="00C25958">
              <w:rPr>
                <w:noProof/>
                <w:webHidden/>
              </w:rPr>
              <w:fldChar w:fldCharType="separate"/>
            </w:r>
            <w:r w:rsidR="00C25958">
              <w:rPr>
                <w:noProof/>
                <w:webHidden/>
              </w:rPr>
              <w:t>2</w:t>
            </w:r>
            <w:r w:rsidR="00C25958">
              <w:rPr>
                <w:noProof/>
                <w:webHidden/>
              </w:rPr>
              <w:fldChar w:fldCharType="end"/>
            </w:r>
          </w:hyperlink>
        </w:p>
        <w:p w:rsidR="00C25958" w:rsidRDefault="00C25958">
          <w:pPr>
            <w:pStyle w:val="TM1"/>
            <w:tabs>
              <w:tab w:val="right" w:leader="dot" w:pos="9062"/>
            </w:tabs>
            <w:rPr>
              <w:rFonts w:eastAsiaTheme="minorEastAsia"/>
              <w:noProof/>
              <w:lang w:eastAsia="fr-FR"/>
            </w:rPr>
          </w:pPr>
          <w:hyperlink w:anchor="_Toc228798092" w:history="1">
            <w:r w:rsidRPr="00E61F06">
              <w:rPr>
                <w:rStyle w:val="Lienhypertexte"/>
                <w:noProof/>
              </w:rPr>
              <w:t>Certificats d’économies d’énergie</w:t>
            </w:r>
            <w:r>
              <w:rPr>
                <w:noProof/>
                <w:webHidden/>
              </w:rPr>
              <w:tab/>
            </w:r>
            <w:r>
              <w:rPr>
                <w:noProof/>
                <w:webHidden/>
              </w:rPr>
              <w:fldChar w:fldCharType="begin"/>
            </w:r>
            <w:r>
              <w:rPr>
                <w:noProof/>
                <w:webHidden/>
              </w:rPr>
              <w:instrText xml:space="preserve"> PAGEREF _Toc228798092 \h </w:instrText>
            </w:r>
            <w:r>
              <w:rPr>
                <w:noProof/>
                <w:webHidden/>
              </w:rPr>
            </w:r>
            <w:r>
              <w:rPr>
                <w:noProof/>
                <w:webHidden/>
              </w:rPr>
              <w:fldChar w:fldCharType="separate"/>
            </w:r>
            <w:r>
              <w:rPr>
                <w:noProof/>
                <w:webHidden/>
              </w:rPr>
              <w:t>2</w:t>
            </w:r>
            <w:r>
              <w:rPr>
                <w:noProof/>
                <w:webHidden/>
              </w:rPr>
              <w:fldChar w:fldCharType="end"/>
            </w:r>
          </w:hyperlink>
        </w:p>
        <w:p w:rsidR="00C25958" w:rsidRDefault="00C25958">
          <w:pPr>
            <w:pStyle w:val="TM1"/>
            <w:tabs>
              <w:tab w:val="right" w:leader="dot" w:pos="9062"/>
            </w:tabs>
            <w:rPr>
              <w:rFonts w:eastAsiaTheme="minorEastAsia"/>
              <w:noProof/>
              <w:lang w:eastAsia="fr-FR"/>
            </w:rPr>
          </w:pPr>
          <w:hyperlink w:anchor="_Toc228798093" w:history="1">
            <w:r w:rsidRPr="00E61F06">
              <w:rPr>
                <w:rStyle w:val="Lienhypertexte"/>
                <w:noProof/>
              </w:rPr>
              <w:t>Diagnostic de performance énergétique</w:t>
            </w:r>
            <w:r>
              <w:rPr>
                <w:noProof/>
                <w:webHidden/>
              </w:rPr>
              <w:tab/>
            </w:r>
            <w:r>
              <w:rPr>
                <w:noProof/>
                <w:webHidden/>
              </w:rPr>
              <w:fldChar w:fldCharType="begin"/>
            </w:r>
            <w:r>
              <w:rPr>
                <w:noProof/>
                <w:webHidden/>
              </w:rPr>
              <w:instrText xml:space="preserve"> PAGEREF _Toc228798093 \h </w:instrText>
            </w:r>
            <w:r>
              <w:rPr>
                <w:noProof/>
                <w:webHidden/>
              </w:rPr>
            </w:r>
            <w:r>
              <w:rPr>
                <w:noProof/>
                <w:webHidden/>
              </w:rPr>
              <w:fldChar w:fldCharType="separate"/>
            </w:r>
            <w:r>
              <w:rPr>
                <w:noProof/>
                <w:webHidden/>
              </w:rPr>
              <w:t>3</w:t>
            </w:r>
            <w:r>
              <w:rPr>
                <w:noProof/>
                <w:webHidden/>
              </w:rPr>
              <w:fldChar w:fldCharType="end"/>
            </w:r>
          </w:hyperlink>
        </w:p>
        <w:p w:rsidR="00C25958" w:rsidRDefault="00C25958">
          <w:pPr>
            <w:pStyle w:val="TM1"/>
            <w:tabs>
              <w:tab w:val="right" w:leader="dot" w:pos="9062"/>
            </w:tabs>
            <w:rPr>
              <w:rFonts w:eastAsiaTheme="minorEastAsia"/>
              <w:noProof/>
              <w:lang w:eastAsia="fr-FR"/>
            </w:rPr>
          </w:pPr>
          <w:hyperlink w:anchor="_Toc228798094" w:history="1">
            <w:r w:rsidRPr="00E61F06">
              <w:rPr>
                <w:rStyle w:val="Lienhypertexte"/>
                <w:noProof/>
              </w:rPr>
              <w:t>Emissions de gaz à effet de serre</w:t>
            </w:r>
            <w:r>
              <w:rPr>
                <w:noProof/>
                <w:webHidden/>
              </w:rPr>
              <w:tab/>
            </w:r>
            <w:r>
              <w:rPr>
                <w:noProof/>
                <w:webHidden/>
              </w:rPr>
              <w:fldChar w:fldCharType="begin"/>
            </w:r>
            <w:r>
              <w:rPr>
                <w:noProof/>
                <w:webHidden/>
              </w:rPr>
              <w:instrText xml:space="preserve"> PAGEREF _Toc228798094 \h </w:instrText>
            </w:r>
            <w:r>
              <w:rPr>
                <w:noProof/>
                <w:webHidden/>
              </w:rPr>
            </w:r>
            <w:r>
              <w:rPr>
                <w:noProof/>
                <w:webHidden/>
              </w:rPr>
              <w:fldChar w:fldCharType="separate"/>
            </w:r>
            <w:r>
              <w:rPr>
                <w:noProof/>
                <w:webHidden/>
              </w:rPr>
              <w:t>3</w:t>
            </w:r>
            <w:r>
              <w:rPr>
                <w:noProof/>
                <w:webHidden/>
              </w:rPr>
              <w:fldChar w:fldCharType="end"/>
            </w:r>
          </w:hyperlink>
        </w:p>
        <w:p w:rsidR="00C25958" w:rsidRDefault="00C25958">
          <w:pPr>
            <w:pStyle w:val="TM1"/>
            <w:tabs>
              <w:tab w:val="right" w:leader="dot" w:pos="9062"/>
            </w:tabs>
            <w:rPr>
              <w:rFonts w:eastAsiaTheme="minorEastAsia"/>
              <w:noProof/>
              <w:lang w:eastAsia="fr-FR"/>
            </w:rPr>
          </w:pPr>
          <w:hyperlink w:anchor="_Toc228798095" w:history="1">
            <w:r w:rsidRPr="00E61F06">
              <w:rPr>
                <w:rStyle w:val="Lienhypertexte"/>
                <w:noProof/>
              </w:rPr>
              <w:t>Environnement</w:t>
            </w:r>
            <w:r>
              <w:rPr>
                <w:noProof/>
                <w:webHidden/>
              </w:rPr>
              <w:tab/>
            </w:r>
            <w:r>
              <w:rPr>
                <w:noProof/>
                <w:webHidden/>
              </w:rPr>
              <w:fldChar w:fldCharType="begin"/>
            </w:r>
            <w:r>
              <w:rPr>
                <w:noProof/>
                <w:webHidden/>
              </w:rPr>
              <w:instrText xml:space="preserve"> PAGEREF _Toc228798095 \h </w:instrText>
            </w:r>
            <w:r>
              <w:rPr>
                <w:noProof/>
                <w:webHidden/>
              </w:rPr>
            </w:r>
            <w:r>
              <w:rPr>
                <w:noProof/>
                <w:webHidden/>
              </w:rPr>
              <w:fldChar w:fldCharType="separate"/>
            </w:r>
            <w:r>
              <w:rPr>
                <w:noProof/>
                <w:webHidden/>
              </w:rPr>
              <w:t>4</w:t>
            </w:r>
            <w:r>
              <w:rPr>
                <w:noProof/>
                <w:webHidden/>
              </w:rPr>
              <w:fldChar w:fldCharType="end"/>
            </w:r>
          </w:hyperlink>
        </w:p>
        <w:p w:rsidR="00C25958" w:rsidRDefault="00C25958">
          <w:pPr>
            <w:pStyle w:val="TM1"/>
            <w:tabs>
              <w:tab w:val="right" w:leader="dot" w:pos="9062"/>
            </w:tabs>
            <w:rPr>
              <w:rFonts w:eastAsiaTheme="minorEastAsia"/>
              <w:noProof/>
              <w:lang w:eastAsia="fr-FR"/>
            </w:rPr>
          </w:pPr>
          <w:hyperlink w:anchor="_Toc228798096" w:history="1">
            <w:r w:rsidRPr="00E61F06">
              <w:rPr>
                <w:rStyle w:val="Lienhypertexte"/>
                <w:noProof/>
              </w:rPr>
              <w:t>Géothermie</w:t>
            </w:r>
            <w:r>
              <w:rPr>
                <w:noProof/>
                <w:webHidden/>
              </w:rPr>
              <w:tab/>
            </w:r>
            <w:r>
              <w:rPr>
                <w:noProof/>
                <w:webHidden/>
              </w:rPr>
              <w:fldChar w:fldCharType="begin"/>
            </w:r>
            <w:r>
              <w:rPr>
                <w:noProof/>
                <w:webHidden/>
              </w:rPr>
              <w:instrText xml:space="preserve"> PAGEREF _Toc228798096 \h </w:instrText>
            </w:r>
            <w:r>
              <w:rPr>
                <w:noProof/>
                <w:webHidden/>
              </w:rPr>
            </w:r>
            <w:r>
              <w:rPr>
                <w:noProof/>
                <w:webHidden/>
              </w:rPr>
              <w:fldChar w:fldCharType="separate"/>
            </w:r>
            <w:r>
              <w:rPr>
                <w:noProof/>
                <w:webHidden/>
              </w:rPr>
              <w:t>4</w:t>
            </w:r>
            <w:r>
              <w:rPr>
                <w:noProof/>
                <w:webHidden/>
              </w:rPr>
              <w:fldChar w:fldCharType="end"/>
            </w:r>
          </w:hyperlink>
        </w:p>
        <w:p w:rsidR="00C25958" w:rsidRDefault="00C25958">
          <w:pPr>
            <w:pStyle w:val="TM1"/>
            <w:tabs>
              <w:tab w:val="right" w:leader="dot" w:pos="9062"/>
            </w:tabs>
            <w:rPr>
              <w:rFonts w:eastAsiaTheme="minorEastAsia"/>
              <w:noProof/>
              <w:lang w:eastAsia="fr-FR"/>
            </w:rPr>
          </w:pPr>
          <w:hyperlink w:anchor="_Toc228798097" w:history="1">
            <w:r w:rsidRPr="00E61F06">
              <w:rPr>
                <w:rStyle w:val="Lienhypertexte"/>
                <w:noProof/>
              </w:rPr>
              <w:t>Loi de finances</w:t>
            </w:r>
            <w:r>
              <w:rPr>
                <w:noProof/>
                <w:webHidden/>
              </w:rPr>
              <w:tab/>
            </w:r>
            <w:r>
              <w:rPr>
                <w:noProof/>
                <w:webHidden/>
              </w:rPr>
              <w:fldChar w:fldCharType="begin"/>
            </w:r>
            <w:r>
              <w:rPr>
                <w:noProof/>
                <w:webHidden/>
              </w:rPr>
              <w:instrText xml:space="preserve"> PAGEREF _Toc228798097 \h </w:instrText>
            </w:r>
            <w:r>
              <w:rPr>
                <w:noProof/>
                <w:webHidden/>
              </w:rPr>
            </w:r>
            <w:r>
              <w:rPr>
                <w:noProof/>
                <w:webHidden/>
              </w:rPr>
              <w:fldChar w:fldCharType="separate"/>
            </w:r>
            <w:r>
              <w:rPr>
                <w:noProof/>
                <w:webHidden/>
              </w:rPr>
              <w:t>4</w:t>
            </w:r>
            <w:r>
              <w:rPr>
                <w:noProof/>
                <w:webHidden/>
              </w:rPr>
              <w:fldChar w:fldCharType="end"/>
            </w:r>
          </w:hyperlink>
        </w:p>
        <w:p w:rsidR="00C25958" w:rsidRDefault="00C25958">
          <w:pPr>
            <w:pStyle w:val="TM1"/>
            <w:tabs>
              <w:tab w:val="right" w:leader="dot" w:pos="9062"/>
            </w:tabs>
            <w:rPr>
              <w:rFonts w:eastAsiaTheme="minorEastAsia"/>
              <w:noProof/>
              <w:lang w:eastAsia="fr-FR"/>
            </w:rPr>
          </w:pPr>
          <w:hyperlink w:anchor="_Toc228798098" w:history="1">
            <w:r w:rsidRPr="00E61F06">
              <w:rPr>
                <w:rStyle w:val="Lienhypertexte"/>
                <w:noProof/>
              </w:rPr>
              <w:t>Maîtrise de l’eau</w:t>
            </w:r>
            <w:r>
              <w:rPr>
                <w:noProof/>
                <w:webHidden/>
              </w:rPr>
              <w:tab/>
            </w:r>
            <w:r>
              <w:rPr>
                <w:noProof/>
                <w:webHidden/>
              </w:rPr>
              <w:fldChar w:fldCharType="begin"/>
            </w:r>
            <w:r>
              <w:rPr>
                <w:noProof/>
                <w:webHidden/>
              </w:rPr>
              <w:instrText xml:space="preserve"> PAGEREF _Toc228798098 \h </w:instrText>
            </w:r>
            <w:r>
              <w:rPr>
                <w:noProof/>
                <w:webHidden/>
              </w:rPr>
            </w:r>
            <w:r>
              <w:rPr>
                <w:noProof/>
                <w:webHidden/>
              </w:rPr>
              <w:fldChar w:fldCharType="separate"/>
            </w:r>
            <w:r>
              <w:rPr>
                <w:noProof/>
                <w:webHidden/>
              </w:rPr>
              <w:t>5</w:t>
            </w:r>
            <w:r>
              <w:rPr>
                <w:noProof/>
                <w:webHidden/>
              </w:rPr>
              <w:fldChar w:fldCharType="end"/>
            </w:r>
          </w:hyperlink>
        </w:p>
        <w:p w:rsidR="00C25958" w:rsidRDefault="00C25958">
          <w:pPr>
            <w:pStyle w:val="TM1"/>
            <w:tabs>
              <w:tab w:val="right" w:leader="dot" w:pos="9062"/>
            </w:tabs>
            <w:rPr>
              <w:rFonts w:eastAsiaTheme="minorEastAsia"/>
              <w:noProof/>
              <w:lang w:eastAsia="fr-FR"/>
            </w:rPr>
          </w:pPr>
          <w:hyperlink w:anchor="_Toc228798099" w:history="1">
            <w:r w:rsidRPr="00E61F06">
              <w:rPr>
                <w:rStyle w:val="Lienhypertexte"/>
                <w:noProof/>
              </w:rPr>
              <w:t>Mécanisme d’ajustement carbone aux frontières</w:t>
            </w:r>
            <w:r>
              <w:rPr>
                <w:noProof/>
                <w:webHidden/>
              </w:rPr>
              <w:tab/>
            </w:r>
            <w:r>
              <w:rPr>
                <w:noProof/>
                <w:webHidden/>
              </w:rPr>
              <w:fldChar w:fldCharType="begin"/>
            </w:r>
            <w:r>
              <w:rPr>
                <w:noProof/>
                <w:webHidden/>
              </w:rPr>
              <w:instrText xml:space="preserve"> PAGEREF _Toc228798099 \h </w:instrText>
            </w:r>
            <w:r>
              <w:rPr>
                <w:noProof/>
                <w:webHidden/>
              </w:rPr>
            </w:r>
            <w:r>
              <w:rPr>
                <w:noProof/>
                <w:webHidden/>
              </w:rPr>
              <w:fldChar w:fldCharType="separate"/>
            </w:r>
            <w:r>
              <w:rPr>
                <w:noProof/>
                <w:webHidden/>
              </w:rPr>
              <w:t>5</w:t>
            </w:r>
            <w:r>
              <w:rPr>
                <w:noProof/>
                <w:webHidden/>
              </w:rPr>
              <w:fldChar w:fldCharType="end"/>
            </w:r>
          </w:hyperlink>
        </w:p>
        <w:p w:rsidR="00C25958" w:rsidRDefault="00C25958">
          <w:pPr>
            <w:pStyle w:val="TM1"/>
            <w:tabs>
              <w:tab w:val="right" w:leader="dot" w:pos="9062"/>
            </w:tabs>
            <w:rPr>
              <w:rFonts w:eastAsiaTheme="minorEastAsia"/>
              <w:noProof/>
              <w:lang w:eastAsia="fr-FR"/>
            </w:rPr>
          </w:pPr>
          <w:hyperlink w:anchor="_Toc228798100" w:history="1">
            <w:r w:rsidRPr="00E61F06">
              <w:rPr>
                <w:rStyle w:val="Lienhypertexte"/>
                <w:noProof/>
              </w:rPr>
              <w:t>Mines concession et recherche</w:t>
            </w:r>
            <w:r>
              <w:rPr>
                <w:noProof/>
                <w:webHidden/>
              </w:rPr>
              <w:tab/>
            </w:r>
            <w:r>
              <w:rPr>
                <w:noProof/>
                <w:webHidden/>
              </w:rPr>
              <w:fldChar w:fldCharType="begin"/>
            </w:r>
            <w:r>
              <w:rPr>
                <w:noProof/>
                <w:webHidden/>
              </w:rPr>
              <w:instrText xml:space="preserve"> PAGEREF _Toc228798100 \h </w:instrText>
            </w:r>
            <w:r>
              <w:rPr>
                <w:noProof/>
                <w:webHidden/>
              </w:rPr>
            </w:r>
            <w:r>
              <w:rPr>
                <w:noProof/>
                <w:webHidden/>
              </w:rPr>
              <w:fldChar w:fldCharType="separate"/>
            </w:r>
            <w:r>
              <w:rPr>
                <w:noProof/>
                <w:webHidden/>
              </w:rPr>
              <w:t>5</w:t>
            </w:r>
            <w:r>
              <w:rPr>
                <w:noProof/>
                <w:webHidden/>
              </w:rPr>
              <w:fldChar w:fldCharType="end"/>
            </w:r>
          </w:hyperlink>
        </w:p>
        <w:p w:rsidR="00C25958" w:rsidRDefault="00C25958">
          <w:pPr>
            <w:pStyle w:val="TM1"/>
            <w:tabs>
              <w:tab w:val="right" w:leader="dot" w:pos="9062"/>
            </w:tabs>
            <w:rPr>
              <w:rFonts w:eastAsiaTheme="minorEastAsia"/>
              <w:noProof/>
              <w:lang w:eastAsia="fr-FR"/>
            </w:rPr>
          </w:pPr>
          <w:hyperlink w:anchor="_Toc228798101" w:history="1">
            <w:r w:rsidRPr="00E61F06">
              <w:rPr>
                <w:rStyle w:val="Lienhypertexte"/>
                <w:noProof/>
              </w:rPr>
              <w:t>Transport</w:t>
            </w:r>
            <w:r>
              <w:rPr>
                <w:noProof/>
                <w:webHidden/>
              </w:rPr>
              <w:tab/>
            </w:r>
            <w:r>
              <w:rPr>
                <w:noProof/>
                <w:webHidden/>
              </w:rPr>
              <w:fldChar w:fldCharType="begin"/>
            </w:r>
            <w:r>
              <w:rPr>
                <w:noProof/>
                <w:webHidden/>
              </w:rPr>
              <w:instrText xml:space="preserve"> PAGEREF _Toc228798101 \h </w:instrText>
            </w:r>
            <w:r>
              <w:rPr>
                <w:noProof/>
                <w:webHidden/>
              </w:rPr>
            </w:r>
            <w:r>
              <w:rPr>
                <w:noProof/>
                <w:webHidden/>
              </w:rPr>
              <w:fldChar w:fldCharType="separate"/>
            </w:r>
            <w:r>
              <w:rPr>
                <w:noProof/>
                <w:webHidden/>
              </w:rPr>
              <w:t>6</w:t>
            </w:r>
            <w:r>
              <w:rPr>
                <w:noProof/>
                <w:webHidden/>
              </w:rPr>
              <w:fldChar w:fldCharType="end"/>
            </w:r>
          </w:hyperlink>
        </w:p>
        <w:p w:rsidR="00C25958" w:rsidRDefault="00C25958">
          <w:pPr>
            <w:pStyle w:val="TM1"/>
            <w:tabs>
              <w:tab w:val="right" w:leader="dot" w:pos="9062"/>
            </w:tabs>
            <w:rPr>
              <w:rFonts w:eastAsiaTheme="minorEastAsia"/>
              <w:noProof/>
              <w:lang w:eastAsia="fr-FR"/>
            </w:rPr>
          </w:pPr>
          <w:hyperlink w:anchor="_Toc228798102" w:history="1">
            <w:r w:rsidRPr="00E61F06">
              <w:rPr>
                <w:rStyle w:val="Lienhypertexte"/>
                <w:noProof/>
              </w:rPr>
              <w:t>Zones non interconnectées</w:t>
            </w:r>
            <w:r>
              <w:rPr>
                <w:noProof/>
                <w:webHidden/>
              </w:rPr>
              <w:tab/>
            </w:r>
            <w:r>
              <w:rPr>
                <w:noProof/>
                <w:webHidden/>
              </w:rPr>
              <w:fldChar w:fldCharType="begin"/>
            </w:r>
            <w:r>
              <w:rPr>
                <w:noProof/>
                <w:webHidden/>
              </w:rPr>
              <w:instrText xml:space="preserve"> PAGEREF _Toc228798102 \h </w:instrText>
            </w:r>
            <w:r>
              <w:rPr>
                <w:noProof/>
                <w:webHidden/>
              </w:rPr>
            </w:r>
            <w:r>
              <w:rPr>
                <w:noProof/>
                <w:webHidden/>
              </w:rPr>
              <w:fldChar w:fldCharType="separate"/>
            </w:r>
            <w:r>
              <w:rPr>
                <w:noProof/>
                <w:webHidden/>
              </w:rPr>
              <w:t>6</w:t>
            </w:r>
            <w:r>
              <w:rPr>
                <w:noProof/>
                <w:webHidden/>
              </w:rPr>
              <w:fldChar w:fldCharType="end"/>
            </w:r>
          </w:hyperlink>
        </w:p>
        <w:p w:rsidR="00481309" w:rsidRDefault="00481309">
          <w:r>
            <w:rPr>
              <w:b/>
              <w:bCs/>
            </w:rPr>
            <w:fldChar w:fldCharType="end"/>
          </w:r>
        </w:p>
      </w:sdtContent>
    </w:sdt>
    <w:p w:rsidR="00A84207" w:rsidRDefault="00A84207">
      <w:pPr>
        <w:spacing w:after="160" w:line="259" w:lineRule="auto"/>
        <w:rPr>
          <w:rFonts w:ascii="Calibri" w:hAnsi="Calibri"/>
          <w:szCs w:val="21"/>
        </w:rPr>
      </w:pPr>
      <w:r>
        <w:br w:type="page"/>
      </w:r>
    </w:p>
    <w:p w:rsidR="000E6286" w:rsidRDefault="000E6286" w:rsidP="000E6286">
      <w:pPr>
        <w:pStyle w:val="Titre1"/>
      </w:pPr>
      <w:bookmarkStart w:id="1" w:name="_Toc228798091"/>
      <w:r>
        <w:lastRenderedPageBreak/>
        <w:t>Certification professionnelle</w:t>
      </w:r>
      <w:bookmarkEnd w:id="1"/>
    </w:p>
    <w:p w:rsidR="000E6286" w:rsidRDefault="000E6286" w:rsidP="000E6286">
      <w:pPr>
        <w:jc w:val="both"/>
      </w:pPr>
    </w:p>
    <w:p w:rsidR="00077DC6" w:rsidRPr="00A564CA" w:rsidRDefault="00077DC6" w:rsidP="00A564CA">
      <w:pPr>
        <w:pBdr>
          <w:left w:val="single" w:sz="4" w:space="4" w:color="auto"/>
        </w:pBdr>
        <w:jc w:val="both"/>
        <w:rPr>
          <w:b/>
        </w:rPr>
      </w:pPr>
      <w:r w:rsidRPr="00A564CA">
        <w:rPr>
          <w:b/>
        </w:rPr>
        <w:sym w:font="Wingdings" w:char="F0E8"/>
      </w:r>
      <w:r w:rsidRPr="00A564CA">
        <w:rPr>
          <w:b/>
        </w:rPr>
        <w:t xml:space="preserve"> Certificat de spécialisation « Conduite d’équipements verriers »</w:t>
      </w:r>
      <w:r w:rsidR="00A564CA" w:rsidRPr="00A564CA">
        <w:rPr>
          <w:b/>
        </w:rPr>
        <w:t xml:space="preserve"> - Présentation synthétique du référentiel du diplôme</w:t>
      </w:r>
    </w:p>
    <w:p w:rsidR="00077DC6" w:rsidRDefault="00077DC6" w:rsidP="00A564CA">
      <w:pPr>
        <w:pBdr>
          <w:left w:val="single" w:sz="4" w:space="4" w:color="auto"/>
        </w:pBdr>
        <w:jc w:val="both"/>
      </w:pPr>
    </w:p>
    <w:p w:rsidR="00077DC6" w:rsidRPr="00077DC6" w:rsidRDefault="00077DC6" w:rsidP="00A564CA">
      <w:pPr>
        <w:pBdr>
          <w:left w:val="single" w:sz="4" w:space="4" w:color="auto"/>
        </w:pBdr>
        <w:jc w:val="both"/>
        <w:rPr>
          <w:i/>
        </w:rPr>
      </w:pPr>
      <w:hyperlink r:id="rId9" w:history="1">
        <w:r w:rsidRPr="00077DC6">
          <w:rPr>
            <w:rStyle w:val="Lienhypertexte"/>
            <w:b/>
            <w:i/>
            <w:color w:val="auto"/>
          </w:rPr>
          <w:t>Arrêté du 26 février 2026</w:t>
        </w:r>
        <w:r w:rsidRPr="00077DC6">
          <w:rPr>
            <w:rStyle w:val="Lienhypertexte"/>
            <w:i/>
            <w:color w:val="auto"/>
          </w:rPr>
          <w:t xml:space="preserve"> portant création de la spécialité « Conduite d'équipements verriers » de certificat de spécialisation et fixant ses modalités de délivrance.</w:t>
        </w:r>
      </w:hyperlink>
    </w:p>
    <w:p w:rsidR="00077DC6" w:rsidRDefault="00077DC6" w:rsidP="00077DC6">
      <w:pPr>
        <w:jc w:val="both"/>
      </w:pPr>
    </w:p>
    <w:p w:rsidR="00077DC6" w:rsidRDefault="00077DC6" w:rsidP="00077DC6">
      <w:pPr>
        <w:jc w:val="both"/>
      </w:pPr>
    </w:p>
    <w:p w:rsidR="000E6286" w:rsidRDefault="000E6286" w:rsidP="000E6286">
      <w:pPr>
        <w:jc w:val="both"/>
      </w:pPr>
    </w:p>
    <w:p w:rsidR="00EF29B5" w:rsidRPr="00EF29B5" w:rsidRDefault="00EF29B5" w:rsidP="00EF29B5">
      <w:pPr>
        <w:pStyle w:val="Titre1"/>
      </w:pPr>
      <w:bookmarkStart w:id="2" w:name="_Toc228798092"/>
      <w:r w:rsidRPr="00EF29B5">
        <w:t>Certificats d’économies d’énergie</w:t>
      </w:r>
      <w:bookmarkEnd w:id="2"/>
    </w:p>
    <w:p w:rsidR="00EF29B5" w:rsidRPr="00EF29B5" w:rsidRDefault="00EF29B5" w:rsidP="00EF29B5">
      <w:pPr>
        <w:jc w:val="both"/>
      </w:pPr>
    </w:p>
    <w:p w:rsidR="003E6E14" w:rsidRPr="003E6E14" w:rsidRDefault="003E6E14" w:rsidP="003E6E14">
      <w:pPr>
        <w:pBdr>
          <w:left w:val="single" w:sz="4" w:space="4" w:color="auto"/>
        </w:pBdr>
        <w:jc w:val="both"/>
        <w:rPr>
          <w:b/>
        </w:rPr>
      </w:pPr>
      <w:r w:rsidRPr="003E6E14">
        <w:rPr>
          <w:b/>
        </w:rPr>
        <w:sym w:font="Wingdings" w:char="F0E8"/>
      </w:r>
      <w:r w:rsidRPr="003E6E14">
        <w:rPr>
          <w:b/>
        </w:rPr>
        <w:t xml:space="preserve"> C</w:t>
      </w:r>
      <w:r w:rsidRPr="003E6E14">
        <w:rPr>
          <w:b/>
        </w:rPr>
        <w:t>réation d’un programme d’accompagnement en faveur des économies d’énergie dans le cadre du</w:t>
      </w:r>
      <w:r w:rsidRPr="003E6E14">
        <w:rPr>
          <w:b/>
        </w:rPr>
        <w:t xml:space="preserve"> </w:t>
      </w:r>
      <w:r w:rsidRPr="003E6E14">
        <w:rPr>
          <w:b/>
        </w:rPr>
        <w:t xml:space="preserve">dispositif des </w:t>
      </w:r>
      <w:r>
        <w:rPr>
          <w:b/>
        </w:rPr>
        <w:t xml:space="preserve">CEE </w:t>
      </w:r>
      <w:r w:rsidRPr="003E6E14">
        <w:rPr>
          <w:b/>
        </w:rPr>
        <w:t>portant sur la location sociale de voitures électriques.</w:t>
      </w:r>
    </w:p>
    <w:p w:rsidR="003E6E14" w:rsidRDefault="003E6E14" w:rsidP="003E6E14">
      <w:pPr>
        <w:pBdr>
          <w:left w:val="single" w:sz="4" w:space="4" w:color="auto"/>
        </w:pBdr>
      </w:pPr>
    </w:p>
    <w:p w:rsidR="003E6E14" w:rsidRDefault="003E6E14" w:rsidP="003E6E14">
      <w:pPr>
        <w:pBdr>
          <w:left w:val="single" w:sz="4" w:space="4" w:color="auto"/>
        </w:pBdr>
        <w:jc w:val="both"/>
      </w:pPr>
      <w:r>
        <w:t>P</w:t>
      </w:r>
      <w:r>
        <w:t>rogramme de soutien à la location de voitures électriques aux particuliers sous conditions de revenus</w:t>
      </w:r>
      <w:r>
        <w:t xml:space="preserve"> </w:t>
      </w:r>
      <w:r w:rsidRPr="003E6E14">
        <w:rPr>
          <w:b/>
        </w:rPr>
        <w:t>PRO-INNO-86</w:t>
      </w:r>
      <w:r w:rsidRPr="003E6E14">
        <w:rPr>
          <w:b/>
        </w:rPr>
        <w:t xml:space="preserve"> - </w:t>
      </w:r>
      <w:r w:rsidRPr="003E6E14">
        <w:rPr>
          <w:b/>
        </w:rPr>
        <w:t>Location sociale de voitures électriques 2026</w:t>
      </w:r>
      <w:r>
        <w:t xml:space="preserve"> </w:t>
      </w:r>
      <w:proofErr w:type="gramStart"/>
      <w:r>
        <w:t xml:space="preserve">-  </w:t>
      </w:r>
      <w:r>
        <w:t>porté</w:t>
      </w:r>
      <w:proofErr w:type="gramEnd"/>
      <w:r>
        <w:t xml:space="preserve"> par l’ADEME (Agence de l’environnement et de la maitrise de l’énergie) à travers une aide financière. </w:t>
      </w:r>
    </w:p>
    <w:p w:rsidR="003E6E14" w:rsidRDefault="003E6E14" w:rsidP="003E6E14">
      <w:pPr>
        <w:pBdr>
          <w:left w:val="single" w:sz="4" w:space="4" w:color="auto"/>
        </w:pBdr>
        <w:jc w:val="both"/>
      </w:pPr>
    </w:p>
    <w:p w:rsidR="003E6E14" w:rsidRDefault="003E6E14" w:rsidP="003E6E14">
      <w:pPr>
        <w:pBdr>
          <w:left w:val="single" w:sz="4" w:space="4" w:color="auto"/>
        </w:pBdr>
        <w:jc w:val="both"/>
      </w:pPr>
      <w:r>
        <w:t>L’objectif du programme est de soutenir financièrement la location d’au moins 50 000 voitures particulières électriques à destination des ménages modestes. Ce soutien financier n’est pas cumulable avec les incitations financières versées au titre des fiches d’opérations standardisées TRA-EQ-114 et TRA-EQ-117.</w:t>
      </w:r>
    </w:p>
    <w:p w:rsidR="003E6E14" w:rsidRDefault="003E6E14" w:rsidP="003E6E14">
      <w:pPr>
        <w:pBdr>
          <w:left w:val="single" w:sz="4" w:space="4" w:color="auto"/>
        </w:pBdr>
      </w:pPr>
    </w:p>
    <w:p w:rsidR="003E6E14" w:rsidRPr="003E6E14" w:rsidRDefault="003E6E14" w:rsidP="003E6E14">
      <w:pPr>
        <w:pBdr>
          <w:left w:val="single" w:sz="4" w:space="4" w:color="auto"/>
        </w:pBdr>
        <w:jc w:val="both"/>
        <w:rPr>
          <w:i/>
        </w:rPr>
      </w:pPr>
      <w:hyperlink r:id="rId10" w:history="1">
        <w:r w:rsidRPr="003E6E14">
          <w:rPr>
            <w:rStyle w:val="Lienhypertexte"/>
            <w:b/>
            <w:i/>
            <w:color w:val="auto"/>
          </w:rPr>
          <w:t>Arrêté du 14 avril 2026</w:t>
        </w:r>
        <w:r w:rsidRPr="003E6E14">
          <w:rPr>
            <w:rStyle w:val="Lienhypertexte"/>
            <w:i/>
            <w:color w:val="auto"/>
          </w:rPr>
          <w:t xml:space="preserve"> portant création d'un programme dans le cadre du dispositif des certificats d'économies d'énergie.</w:t>
        </w:r>
      </w:hyperlink>
    </w:p>
    <w:p w:rsidR="004668E0" w:rsidRDefault="004668E0" w:rsidP="004668E0"/>
    <w:p w:rsidR="00A14DB6" w:rsidRDefault="00A14DB6" w:rsidP="004668E0"/>
    <w:p w:rsidR="00A14DB6" w:rsidRDefault="00A14DB6" w:rsidP="004668E0"/>
    <w:p w:rsidR="004668E0" w:rsidRPr="009F03E4" w:rsidRDefault="00A14DB6" w:rsidP="009F03E4">
      <w:pPr>
        <w:pBdr>
          <w:left w:val="single" w:sz="4" w:space="4" w:color="auto"/>
        </w:pBdr>
        <w:jc w:val="both"/>
        <w:rPr>
          <w:b/>
        </w:rPr>
      </w:pPr>
      <w:r w:rsidRPr="009F03E4">
        <w:rPr>
          <w:b/>
        </w:rPr>
        <w:sym w:font="Wingdings" w:char="F0E8"/>
      </w:r>
      <w:r w:rsidRPr="009F03E4">
        <w:rPr>
          <w:b/>
        </w:rPr>
        <w:t xml:space="preserve"> M</w:t>
      </w:r>
      <w:r w:rsidRPr="009F03E4">
        <w:rPr>
          <w:b/>
        </w:rPr>
        <w:t>odifi</w:t>
      </w:r>
      <w:r w:rsidRPr="009F03E4">
        <w:rPr>
          <w:b/>
        </w:rPr>
        <w:t>cation d</w:t>
      </w:r>
      <w:r w:rsidRPr="009F03E4">
        <w:rPr>
          <w:b/>
        </w:rPr>
        <w:t>es fiches d’opérations standardisées relatives aux pompes à</w:t>
      </w:r>
      <w:r w:rsidRPr="009F03E4">
        <w:rPr>
          <w:b/>
        </w:rPr>
        <w:t xml:space="preserve"> </w:t>
      </w:r>
      <w:r w:rsidRPr="009F03E4">
        <w:rPr>
          <w:b/>
        </w:rPr>
        <w:t xml:space="preserve">chaleur air/eau, eau/eau et aux systèmes géothermiques dans </w:t>
      </w:r>
      <w:proofErr w:type="gramStart"/>
      <w:r w:rsidRPr="009F03E4">
        <w:rPr>
          <w:b/>
        </w:rPr>
        <w:t>les secteurs résidentiel</w:t>
      </w:r>
      <w:proofErr w:type="gramEnd"/>
      <w:r w:rsidRPr="009F03E4">
        <w:rPr>
          <w:b/>
        </w:rPr>
        <w:t xml:space="preserve"> collectif</w:t>
      </w:r>
      <w:r w:rsidRPr="009F03E4">
        <w:rPr>
          <w:b/>
        </w:rPr>
        <w:t xml:space="preserve"> </w:t>
      </w:r>
      <w:r w:rsidRPr="009F03E4">
        <w:rPr>
          <w:b/>
        </w:rPr>
        <w:t>et tertiaire</w:t>
      </w:r>
    </w:p>
    <w:p w:rsidR="00A14DB6" w:rsidRDefault="00A14DB6" w:rsidP="009F03E4">
      <w:pPr>
        <w:pBdr>
          <w:left w:val="single" w:sz="4" w:space="4" w:color="auto"/>
        </w:pBdr>
      </w:pPr>
    </w:p>
    <w:p w:rsidR="00A14DB6" w:rsidRDefault="00A14DB6" w:rsidP="009F03E4">
      <w:pPr>
        <w:pBdr>
          <w:left w:val="single" w:sz="4" w:space="4" w:color="auto"/>
        </w:pBdr>
      </w:pPr>
      <w:r>
        <w:t>L</w:t>
      </w:r>
      <w:r>
        <w:t>e présent arrêté modifie les fiches d’opérations standardisées</w:t>
      </w:r>
      <w:r>
        <w:t> :</w:t>
      </w:r>
    </w:p>
    <w:p w:rsidR="00A14DB6" w:rsidRDefault="00A14DB6" w:rsidP="009F03E4">
      <w:pPr>
        <w:pBdr>
          <w:left w:val="single" w:sz="4" w:space="4" w:color="auto"/>
        </w:pBdr>
      </w:pPr>
    </w:p>
    <w:p w:rsidR="00A14DB6" w:rsidRDefault="00A14DB6" w:rsidP="009F03E4">
      <w:pPr>
        <w:pStyle w:val="Paragraphedeliste"/>
        <w:numPr>
          <w:ilvl w:val="0"/>
          <w:numId w:val="7"/>
        </w:numPr>
        <w:pBdr>
          <w:left w:val="single" w:sz="4" w:space="4" w:color="auto"/>
        </w:pBdr>
      </w:pPr>
      <w:r>
        <w:t>BAR-TH-</w:t>
      </w:r>
      <w:proofErr w:type="gramStart"/>
      <w:r>
        <w:t xml:space="preserve">178 </w:t>
      </w:r>
      <w:r>
        <w:t xml:space="preserve"> -</w:t>
      </w:r>
      <w:proofErr w:type="gramEnd"/>
      <w:r>
        <w:t xml:space="preserve"> </w:t>
      </w:r>
      <w:r>
        <w:t>Système géothermique</w:t>
      </w:r>
      <w:r>
        <w:t> ;</w:t>
      </w:r>
    </w:p>
    <w:p w:rsidR="00A14DB6" w:rsidRDefault="00A14DB6" w:rsidP="009F03E4">
      <w:pPr>
        <w:pStyle w:val="Paragraphedeliste"/>
        <w:numPr>
          <w:ilvl w:val="0"/>
          <w:numId w:val="7"/>
        </w:numPr>
        <w:pBdr>
          <w:left w:val="single" w:sz="4" w:space="4" w:color="auto"/>
        </w:pBdr>
      </w:pPr>
      <w:r>
        <w:t>BAR-TH-</w:t>
      </w:r>
      <w:proofErr w:type="gramStart"/>
      <w:r>
        <w:t xml:space="preserve">179 </w:t>
      </w:r>
      <w:r>
        <w:t xml:space="preserve"> -</w:t>
      </w:r>
      <w:proofErr w:type="gramEnd"/>
      <w:r>
        <w:t xml:space="preserve"> </w:t>
      </w:r>
      <w:r>
        <w:t>Pompe à chaleur collective de type air/eau</w:t>
      </w:r>
      <w:r>
        <w:t> ;</w:t>
      </w:r>
    </w:p>
    <w:p w:rsidR="00A14DB6" w:rsidRDefault="00A14DB6" w:rsidP="009F03E4">
      <w:pPr>
        <w:pStyle w:val="Paragraphedeliste"/>
        <w:numPr>
          <w:ilvl w:val="0"/>
          <w:numId w:val="7"/>
        </w:numPr>
        <w:pBdr>
          <w:left w:val="single" w:sz="4" w:space="4" w:color="auto"/>
        </w:pBdr>
      </w:pPr>
      <w:r>
        <w:t>BAR-TH-</w:t>
      </w:r>
      <w:proofErr w:type="gramStart"/>
      <w:r>
        <w:t xml:space="preserve">180 </w:t>
      </w:r>
      <w:r>
        <w:t xml:space="preserve"> -</w:t>
      </w:r>
      <w:proofErr w:type="gramEnd"/>
      <w:r>
        <w:t xml:space="preserve"> </w:t>
      </w:r>
      <w:r>
        <w:t>Pompe à chaleur collective de type</w:t>
      </w:r>
      <w:r>
        <w:t xml:space="preserve"> </w:t>
      </w:r>
      <w:r>
        <w:t>eau/eau ou eau glycolée/eau</w:t>
      </w:r>
      <w:r>
        <w:t> ;</w:t>
      </w:r>
    </w:p>
    <w:p w:rsidR="00A14DB6" w:rsidRDefault="00A14DB6" w:rsidP="009F03E4">
      <w:pPr>
        <w:pStyle w:val="Paragraphedeliste"/>
        <w:numPr>
          <w:ilvl w:val="0"/>
          <w:numId w:val="7"/>
        </w:numPr>
        <w:pBdr>
          <w:left w:val="single" w:sz="4" w:space="4" w:color="auto"/>
        </w:pBdr>
      </w:pPr>
      <w:r>
        <w:t>BAT-TH-</w:t>
      </w:r>
      <w:proofErr w:type="gramStart"/>
      <w:r>
        <w:t xml:space="preserve">162 </w:t>
      </w:r>
      <w:r>
        <w:t xml:space="preserve"> -</w:t>
      </w:r>
      <w:proofErr w:type="gramEnd"/>
      <w:r>
        <w:t xml:space="preserve"> </w:t>
      </w:r>
      <w:r>
        <w:t>Système géothermique</w:t>
      </w:r>
      <w:r>
        <w:t> ;</w:t>
      </w:r>
    </w:p>
    <w:p w:rsidR="00A14DB6" w:rsidRDefault="00A14DB6" w:rsidP="009F03E4">
      <w:pPr>
        <w:pStyle w:val="Paragraphedeliste"/>
        <w:numPr>
          <w:ilvl w:val="0"/>
          <w:numId w:val="7"/>
        </w:numPr>
        <w:pBdr>
          <w:left w:val="single" w:sz="4" w:space="4" w:color="auto"/>
        </w:pBdr>
      </w:pPr>
      <w:r>
        <w:t>BAT-TH-</w:t>
      </w:r>
      <w:proofErr w:type="gramStart"/>
      <w:r>
        <w:t xml:space="preserve">163 </w:t>
      </w:r>
      <w:r>
        <w:t xml:space="preserve"> -</w:t>
      </w:r>
      <w:proofErr w:type="gramEnd"/>
      <w:r>
        <w:t xml:space="preserve"> </w:t>
      </w:r>
      <w:r>
        <w:t>Pompe à chaleur de type</w:t>
      </w:r>
      <w:r>
        <w:t xml:space="preserve"> </w:t>
      </w:r>
      <w:r>
        <w:t xml:space="preserve">air/eau </w:t>
      </w:r>
      <w:r>
        <w:t> ;</w:t>
      </w:r>
    </w:p>
    <w:p w:rsidR="00A14DB6" w:rsidRDefault="00A14DB6" w:rsidP="009F03E4">
      <w:pPr>
        <w:pStyle w:val="Paragraphedeliste"/>
        <w:numPr>
          <w:ilvl w:val="0"/>
          <w:numId w:val="7"/>
        </w:numPr>
        <w:pBdr>
          <w:left w:val="single" w:sz="4" w:space="4" w:color="auto"/>
        </w:pBdr>
      </w:pPr>
      <w:r>
        <w:t xml:space="preserve">BAT-TH-164 </w:t>
      </w:r>
      <w:r>
        <w:t xml:space="preserve">- </w:t>
      </w:r>
      <w:r>
        <w:t>Pompe à chaleur de type eau/eau ou eau glycolée/eau</w:t>
      </w:r>
      <w:r>
        <w:t> ;</w:t>
      </w:r>
    </w:p>
    <w:p w:rsidR="00A14DB6" w:rsidRDefault="00A14DB6" w:rsidP="009F03E4">
      <w:pPr>
        <w:pBdr>
          <w:left w:val="single" w:sz="4" w:space="4" w:color="auto"/>
        </w:pBdr>
      </w:pPr>
    </w:p>
    <w:p w:rsidR="00A14DB6" w:rsidRDefault="00A14DB6" w:rsidP="009F03E4">
      <w:pPr>
        <w:pBdr>
          <w:left w:val="single" w:sz="4" w:space="4" w:color="auto"/>
        </w:pBdr>
      </w:pPr>
      <w:proofErr w:type="gramStart"/>
      <w:r>
        <w:t>et</w:t>
      </w:r>
      <w:proofErr w:type="gramEnd"/>
      <w:r>
        <w:t xml:space="preserve"> introduit des référentiels de</w:t>
      </w:r>
      <w:r>
        <w:t xml:space="preserve"> </w:t>
      </w:r>
      <w:r>
        <w:t>contrôles associés à ces fiches.</w:t>
      </w:r>
    </w:p>
    <w:p w:rsidR="00A14DB6" w:rsidRDefault="00A14DB6" w:rsidP="009F03E4">
      <w:pPr>
        <w:pBdr>
          <w:left w:val="single" w:sz="4" w:space="4" w:color="auto"/>
        </w:pBdr>
      </w:pPr>
    </w:p>
    <w:p w:rsidR="00A14DB6" w:rsidRPr="00A14DB6" w:rsidRDefault="00A14DB6" w:rsidP="009F03E4">
      <w:pPr>
        <w:pStyle w:val="Textebrut"/>
        <w:pBdr>
          <w:left w:val="single" w:sz="4" w:space="4" w:color="auto"/>
        </w:pBdr>
        <w:jc w:val="both"/>
        <w:rPr>
          <w:i/>
        </w:rPr>
      </w:pPr>
      <w:hyperlink r:id="rId11" w:history="1">
        <w:r w:rsidRPr="00A14DB6">
          <w:rPr>
            <w:rStyle w:val="Lienhypertexte"/>
            <w:b/>
            <w:i/>
            <w:color w:val="auto"/>
          </w:rPr>
          <w:t>Arrêté du 27 avril 2026</w:t>
        </w:r>
        <w:r w:rsidRPr="00A14DB6">
          <w:rPr>
            <w:rStyle w:val="Lienhypertexte"/>
            <w:i/>
            <w:color w:val="auto"/>
          </w:rPr>
          <w:t xml:space="preserve"> modifiant les fiches d'opérations standardisées relatives aux pompes à chaleur air/eau, eau/eau et aux systèmes géothermiques dans </w:t>
        </w:r>
        <w:proofErr w:type="gramStart"/>
        <w:r w:rsidRPr="00A14DB6">
          <w:rPr>
            <w:rStyle w:val="Lienhypertexte"/>
            <w:i/>
            <w:color w:val="auto"/>
          </w:rPr>
          <w:t>les secteurs résidentiel</w:t>
        </w:r>
        <w:proofErr w:type="gramEnd"/>
        <w:r w:rsidRPr="00A14DB6">
          <w:rPr>
            <w:rStyle w:val="Lienhypertexte"/>
            <w:i/>
            <w:color w:val="auto"/>
          </w:rPr>
          <w:t xml:space="preserve"> collectif et tertiaire.</w:t>
        </w:r>
      </w:hyperlink>
    </w:p>
    <w:p w:rsidR="00A14DB6" w:rsidRDefault="00A14DB6" w:rsidP="00A14DB6">
      <w:pPr>
        <w:pStyle w:val="Textebrut"/>
      </w:pPr>
    </w:p>
    <w:p w:rsidR="00615956" w:rsidRDefault="00615956" w:rsidP="00A14DB6">
      <w:pPr>
        <w:pStyle w:val="Textebrut"/>
      </w:pPr>
    </w:p>
    <w:p w:rsidR="00A14DB6" w:rsidRDefault="00A14DB6" w:rsidP="004668E0"/>
    <w:p w:rsidR="004668E0" w:rsidRDefault="00DA3CA3" w:rsidP="00DA3CA3">
      <w:pPr>
        <w:pStyle w:val="Titre1"/>
      </w:pPr>
      <w:bookmarkStart w:id="3" w:name="_Toc228798093"/>
      <w:r>
        <w:lastRenderedPageBreak/>
        <w:t>Diagnostic de performance énergétique</w:t>
      </w:r>
      <w:bookmarkEnd w:id="3"/>
    </w:p>
    <w:p w:rsidR="004668E0" w:rsidRDefault="004668E0" w:rsidP="004668E0"/>
    <w:p w:rsidR="00DA3CA3" w:rsidRPr="00C155E0" w:rsidRDefault="00DA3CA3" w:rsidP="00C155E0">
      <w:pPr>
        <w:pBdr>
          <w:left w:val="single" w:sz="4" w:space="4" w:color="auto"/>
        </w:pBdr>
        <w:jc w:val="both"/>
        <w:rPr>
          <w:b/>
        </w:rPr>
      </w:pPr>
      <w:r w:rsidRPr="00C155E0">
        <w:rPr>
          <w:b/>
        </w:rPr>
        <w:sym w:font="Wingdings" w:char="F0E8"/>
      </w:r>
      <w:r w:rsidRPr="00C155E0">
        <w:rPr>
          <w:b/>
        </w:rPr>
        <w:t xml:space="preserve"> </w:t>
      </w:r>
      <w:r w:rsidR="00C155E0" w:rsidRPr="00C155E0">
        <w:rPr>
          <w:b/>
        </w:rPr>
        <w:t>V</w:t>
      </w:r>
      <w:r w:rsidR="00C155E0" w:rsidRPr="00C155E0">
        <w:rPr>
          <w:b/>
        </w:rPr>
        <w:t>aleurs à retenir pour les émissions de dioxyde de carbone consécutives aux consommations d’énergie et la part des énergies renouvelables et de récupération dans la production de chaleur des réseaux de chaleur ou de froid</w:t>
      </w:r>
    </w:p>
    <w:p w:rsidR="00DA3CA3" w:rsidRDefault="00DA3CA3" w:rsidP="00C155E0">
      <w:pPr>
        <w:pBdr>
          <w:left w:val="single" w:sz="4" w:space="4" w:color="auto"/>
        </w:pBdr>
      </w:pPr>
    </w:p>
    <w:p w:rsidR="00C155E0" w:rsidRDefault="00DA3CA3" w:rsidP="00C155E0">
      <w:pPr>
        <w:pBdr>
          <w:left w:val="single" w:sz="4" w:space="4" w:color="auto"/>
        </w:pBdr>
        <w:jc w:val="both"/>
      </w:pPr>
      <w:r>
        <w:t>L</w:t>
      </w:r>
      <w:r>
        <w:t xml:space="preserve">’annexe 4 de l’arrêté du 15 septembre 2006 relatif au diagnostic de performance énergétique pour les bâtiments existants ou parties de bâtiment autres que d’habitation proposés à la vente en France métropolitaine dispose que les </w:t>
      </w:r>
      <w:bookmarkStart w:id="4" w:name="_Hlk228796515"/>
      <w:r>
        <w:t>valeurs à retenir pour les émissions de dioxyde de carbone consécutives aux consommations d’énergie et la part des énergies renouvelables et de récupération dans la production de chaleur des réseaux de chaleur ou de froid</w:t>
      </w:r>
      <w:bookmarkEnd w:id="4"/>
      <w:r>
        <w:t xml:space="preserve"> est précisée à l’annexe 7 dudit arrêté. </w:t>
      </w:r>
    </w:p>
    <w:p w:rsidR="00C155E0" w:rsidRDefault="00C155E0" w:rsidP="00C155E0">
      <w:pPr>
        <w:pBdr>
          <w:left w:val="single" w:sz="4" w:space="4" w:color="auto"/>
        </w:pBdr>
        <w:jc w:val="both"/>
      </w:pPr>
    </w:p>
    <w:p w:rsidR="00C155E0" w:rsidRDefault="00DA3CA3" w:rsidP="00C155E0">
      <w:pPr>
        <w:pBdr>
          <w:left w:val="single" w:sz="4" w:space="4" w:color="auto"/>
        </w:pBdr>
        <w:jc w:val="both"/>
      </w:pPr>
      <w:r>
        <w:t xml:space="preserve">Le présent arrêté procède à l’actualisation du contenu en CO2 des réseaux de chaleur et de froid et à la publication des taux d’énergie renouvelable et de récupération, avec les données d’exploitation 2022-2023-2024, pour : </w:t>
      </w:r>
    </w:p>
    <w:p w:rsidR="00C155E0" w:rsidRDefault="00C155E0" w:rsidP="00C155E0">
      <w:pPr>
        <w:pBdr>
          <w:left w:val="single" w:sz="4" w:space="4" w:color="auto"/>
        </w:pBdr>
        <w:jc w:val="both"/>
      </w:pPr>
    </w:p>
    <w:p w:rsidR="00C155E0" w:rsidRDefault="00DA3CA3" w:rsidP="00C155E0">
      <w:pPr>
        <w:pStyle w:val="Paragraphedeliste"/>
        <w:numPr>
          <w:ilvl w:val="0"/>
          <w:numId w:val="6"/>
        </w:numPr>
        <w:pBdr>
          <w:left w:val="single" w:sz="4" w:space="4" w:color="auto"/>
        </w:pBdr>
        <w:jc w:val="both"/>
      </w:pPr>
      <w:proofErr w:type="gramStart"/>
      <w:r>
        <w:t>la</w:t>
      </w:r>
      <w:proofErr w:type="gramEnd"/>
      <w:r>
        <w:t xml:space="preserve"> réalisation des diagnostics de performance énergétique ; </w:t>
      </w:r>
    </w:p>
    <w:p w:rsidR="00C155E0" w:rsidRDefault="00DA3CA3" w:rsidP="00C155E0">
      <w:pPr>
        <w:pStyle w:val="Paragraphedeliste"/>
        <w:numPr>
          <w:ilvl w:val="0"/>
          <w:numId w:val="6"/>
        </w:numPr>
        <w:pBdr>
          <w:left w:val="single" w:sz="4" w:space="4" w:color="auto"/>
        </w:pBdr>
        <w:jc w:val="both"/>
      </w:pPr>
      <w:proofErr w:type="gramStart"/>
      <w:r>
        <w:t>les</w:t>
      </w:r>
      <w:proofErr w:type="gramEnd"/>
      <w:r>
        <w:t xml:space="preserve"> obligations d’actions de réduction de la consommation d’énergie finale dans des bâtiments à usage tertiaire ;</w:t>
      </w:r>
    </w:p>
    <w:p w:rsidR="00DA3CA3" w:rsidRDefault="00DA3CA3" w:rsidP="00C155E0">
      <w:pPr>
        <w:pStyle w:val="Paragraphedeliste"/>
        <w:numPr>
          <w:ilvl w:val="0"/>
          <w:numId w:val="6"/>
        </w:numPr>
        <w:pBdr>
          <w:left w:val="single" w:sz="4" w:space="4" w:color="auto"/>
        </w:pBdr>
        <w:jc w:val="both"/>
      </w:pPr>
      <w:proofErr w:type="gramStart"/>
      <w:r>
        <w:t>l’application</w:t>
      </w:r>
      <w:proofErr w:type="gramEnd"/>
      <w:r>
        <w:t xml:space="preserve"> de la RE2020 et de la RT2012.</w:t>
      </w:r>
    </w:p>
    <w:p w:rsidR="00DA3CA3" w:rsidRDefault="00DA3CA3" w:rsidP="00C155E0">
      <w:pPr>
        <w:pBdr>
          <w:left w:val="single" w:sz="4" w:space="4" w:color="auto"/>
        </w:pBdr>
        <w:jc w:val="both"/>
      </w:pPr>
    </w:p>
    <w:p w:rsidR="00DA3CA3" w:rsidRPr="00DA3CA3" w:rsidRDefault="00DA3CA3" w:rsidP="00C155E0">
      <w:pPr>
        <w:pStyle w:val="Textebrut"/>
        <w:pBdr>
          <w:left w:val="single" w:sz="4" w:space="4" w:color="auto"/>
        </w:pBdr>
        <w:jc w:val="both"/>
        <w:rPr>
          <w:i/>
        </w:rPr>
      </w:pPr>
      <w:hyperlink r:id="rId12" w:history="1">
        <w:r w:rsidRPr="00DA3CA3">
          <w:rPr>
            <w:rStyle w:val="Lienhypertexte"/>
            <w:b/>
            <w:i/>
            <w:color w:val="auto"/>
          </w:rPr>
          <w:t>Arrêté du 30 mars 2026</w:t>
        </w:r>
        <w:r w:rsidRPr="00DA3CA3">
          <w:rPr>
            <w:rStyle w:val="Lienhypertexte"/>
            <w:i/>
            <w:color w:val="auto"/>
          </w:rPr>
          <w:t xml:space="preserve"> modifiant l'arrêté du 15 septembre 2006 relatif au diagnostic de </w:t>
        </w:r>
        <w:r>
          <w:rPr>
            <w:rStyle w:val="Lienhypertexte"/>
            <w:i/>
            <w:color w:val="auto"/>
          </w:rPr>
          <w:t>p</w:t>
        </w:r>
        <w:r w:rsidRPr="00DA3CA3">
          <w:rPr>
            <w:rStyle w:val="Lienhypertexte"/>
            <w:i/>
            <w:color w:val="auto"/>
          </w:rPr>
          <w:t>erformance énergétique pour les bâtiments ou parties de bâtiment autres que d'habitation existants proposés à la vente en France métropolitaine.</w:t>
        </w:r>
      </w:hyperlink>
    </w:p>
    <w:p w:rsidR="00DA3CA3" w:rsidRDefault="00DA3CA3" w:rsidP="00DA3CA3">
      <w:pPr>
        <w:pStyle w:val="Textebrut"/>
      </w:pPr>
    </w:p>
    <w:p w:rsidR="004668E0" w:rsidRPr="004668E0" w:rsidRDefault="004668E0" w:rsidP="004668E0"/>
    <w:p w:rsidR="00E71268" w:rsidRDefault="00E71268" w:rsidP="00FF1864">
      <w:pPr>
        <w:pStyle w:val="Textebrut"/>
        <w:jc w:val="both"/>
      </w:pPr>
    </w:p>
    <w:p w:rsidR="00EE5D4B" w:rsidRDefault="00EE5D4B" w:rsidP="00EE5D4B">
      <w:pPr>
        <w:pStyle w:val="Titre1"/>
      </w:pPr>
      <w:bookmarkStart w:id="5" w:name="_Toc228798094"/>
      <w:r>
        <w:t>Emissions de gaz à effet de serre</w:t>
      </w:r>
      <w:bookmarkEnd w:id="5"/>
    </w:p>
    <w:p w:rsidR="00EE5D4B" w:rsidRDefault="00EE5D4B" w:rsidP="00FF1864">
      <w:pPr>
        <w:jc w:val="both"/>
      </w:pPr>
    </w:p>
    <w:p w:rsidR="007B69D8" w:rsidRPr="00BB6423" w:rsidRDefault="007B69D8" w:rsidP="00BB6423">
      <w:pPr>
        <w:pBdr>
          <w:left w:val="single" w:sz="4" w:space="4" w:color="auto"/>
        </w:pBdr>
        <w:jc w:val="both"/>
        <w:rPr>
          <w:b/>
          <w:sz w:val="20"/>
        </w:rPr>
      </w:pPr>
      <w:r w:rsidRPr="00BB6423">
        <w:rPr>
          <w:b/>
        </w:rPr>
        <w:sym w:font="Wingdings" w:char="F0E8"/>
      </w:r>
      <w:r w:rsidRPr="00BB6423">
        <w:rPr>
          <w:b/>
        </w:rPr>
        <w:t xml:space="preserve"> </w:t>
      </w:r>
      <w:r w:rsidR="00BB6423" w:rsidRPr="00BB6423">
        <w:rPr>
          <w:b/>
        </w:rPr>
        <w:t>L</w:t>
      </w:r>
      <w:r w:rsidR="00BB6423" w:rsidRPr="00BB6423">
        <w:rPr>
          <w:b/>
        </w:rPr>
        <w:t>iste des exploitants</w:t>
      </w:r>
      <w:r w:rsidR="00BB6423" w:rsidRPr="00BB6423">
        <w:rPr>
          <w:b/>
        </w:rPr>
        <w:t xml:space="preserve"> </w:t>
      </w:r>
      <w:r w:rsidR="00BB6423" w:rsidRPr="00BB6423">
        <w:rPr>
          <w:b/>
        </w:rPr>
        <w:t>d’installations soumises à autorisation pour les émissions de gaz à effet de serre</w:t>
      </w:r>
    </w:p>
    <w:p w:rsidR="007B69D8" w:rsidRDefault="007B69D8" w:rsidP="00BB6423">
      <w:pPr>
        <w:pBdr>
          <w:left w:val="single" w:sz="4" w:space="4" w:color="auto"/>
        </w:pBdr>
        <w:jc w:val="both"/>
      </w:pPr>
    </w:p>
    <w:p w:rsidR="007B69D8" w:rsidRDefault="007B69D8" w:rsidP="00BB6423">
      <w:pPr>
        <w:pBdr>
          <w:left w:val="single" w:sz="4" w:space="4" w:color="auto"/>
        </w:pBdr>
        <w:jc w:val="both"/>
      </w:pPr>
      <w:r>
        <w:t>L</w:t>
      </w:r>
      <w:r>
        <w:t xml:space="preserve">’arrêté a pour objet de fixer la liste des exploitants d’installations fixes soumises à autorisation d’émettre des gaz à effet de serre, ainsi que le montant des allocations gratuites de quotas d’émission pour les installations fixes en ayant fait la demande. </w:t>
      </w:r>
    </w:p>
    <w:p w:rsidR="007B69D8" w:rsidRDefault="007B69D8" w:rsidP="00BB6423">
      <w:pPr>
        <w:pBdr>
          <w:left w:val="single" w:sz="4" w:space="4" w:color="auto"/>
        </w:pBdr>
        <w:jc w:val="both"/>
      </w:pPr>
    </w:p>
    <w:p w:rsidR="007B69D8" w:rsidRDefault="007B69D8" w:rsidP="00BB6423">
      <w:pPr>
        <w:pBdr>
          <w:left w:val="single" w:sz="4" w:space="4" w:color="auto"/>
        </w:pBdr>
        <w:jc w:val="both"/>
      </w:pPr>
      <w:r>
        <w:t>Cet arrêté modifie l’annexe I de l’arrêté du 10 décembre 2021 fixant la liste des exploitants d’installations soumises à l’autorisation mentionnée au premier alinéa de l’article L. 229-6 du code de l’environnement afin :</w:t>
      </w:r>
    </w:p>
    <w:p w:rsidR="007B69D8" w:rsidRDefault="007B69D8" w:rsidP="00BB6423">
      <w:pPr>
        <w:pBdr>
          <w:left w:val="single" w:sz="4" w:space="4" w:color="auto"/>
        </w:pBdr>
        <w:jc w:val="both"/>
      </w:pPr>
    </w:p>
    <w:p w:rsidR="007B69D8" w:rsidRDefault="007B69D8" w:rsidP="00BB6423">
      <w:pPr>
        <w:pStyle w:val="Paragraphedeliste"/>
        <w:numPr>
          <w:ilvl w:val="0"/>
          <w:numId w:val="5"/>
        </w:numPr>
        <w:pBdr>
          <w:left w:val="single" w:sz="4" w:space="4" w:color="auto"/>
        </w:pBdr>
        <w:ind w:right="708"/>
        <w:jc w:val="both"/>
      </w:pPr>
      <w:proofErr w:type="gramStart"/>
      <w:r>
        <w:t>de</w:t>
      </w:r>
      <w:proofErr w:type="gramEnd"/>
      <w:r>
        <w:t xml:space="preserve"> tenir compte des changements d’exploitants et/ou de dénomination des sociétés exploitantes d’installations ;</w:t>
      </w:r>
    </w:p>
    <w:p w:rsidR="007B69D8" w:rsidRDefault="007B69D8" w:rsidP="00BB6423">
      <w:pPr>
        <w:pStyle w:val="Paragraphedeliste"/>
        <w:numPr>
          <w:ilvl w:val="0"/>
          <w:numId w:val="5"/>
        </w:numPr>
        <w:pBdr>
          <w:left w:val="single" w:sz="4" w:space="4" w:color="auto"/>
        </w:pBdr>
        <w:ind w:right="708"/>
        <w:jc w:val="both"/>
      </w:pPr>
      <w:proofErr w:type="gramStart"/>
      <w:r>
        <w:t>d’intégrer</w:t>
      </w:r>
      <w:proofErr w:type="gramEnd"/>
      <w:r>
        <w:t xml:space="preserve"> des installations nouvelles entrantes et attribuer l’allocation de quotas gratuits pour des nouveaux entrants ;</w:t>
      </w:r>
    </w:p>
    <w:p w:rsidR="007B69D8" w:rsidRDefault="007B69D8" w:rsidP="00BB6423">
      <w:pPr>
        <w:pStyle w:val="Paragraphedeliste"/>
        <w:numPr>
          <w:ilvl w:val="0"/>
          <w:numId w:val="5"/>
        </w:numPr>
        <w:pBdr>
          <w:left w:val="single" w:sz="4" w:space="4" w:color="auto"/>
        </w:pBdr>
        <w:ind w:right="708"/>
        <w:jc w:val="both"/>
      </w:pPr>
      <w:proofErr w:type="gramStart"/>
      <w:r>
        <w:t>de</w:t>
      </w:r>
      <w:proofErr w:type="gramEnd"/>
      <w:r>
        <w:t xml:space="preserve"> mettre à jour les numéros d’identification de certaines installations ;</w:t>
      </w:r>
    </w:p>
    <w:p w:rsidR="007B69D8" w:rsidRDefault="007B69D8" w:rsidP="00BB6423">
      <w:pPr>
        <w:pStyle w:val="Paragraphedeliste"/>
        <w:numPr>
          <w:ilvl w:val="0"/>
          <w:numId w:val="5"/>
        </w:numPr>
        <w:pBdr>
          <w:left w:val="single" w:sz="4" w:space="4" w:color="auto"/>
        </w:pBdr>
        <w:ind w:right="708"/>
        <w:jc w:val="both"/>
      </w:pPr>
      <w:proofErr w:type="gramStart"/>
      <w:r>
        <w:t>d’apporter</w:t>
      </w:r>
      <w:proofErr w:type="gramEnd"/>
      <w:r>
        <w:t xml:space="preserve"> des correctifs aux dénominations d’installations et de noms d’exploitants ;</w:t>
      </w:r>
    </w:p>
    <w:p w:rsidR="007B69D8" w:rsidRDefault="007B69D8" w:rsidP="00BB6423">
      <w:pPr>
        <w:pStyle w:val="Paragraphedeliste"/>
        <w:numPr>
          <w:ilvl w:val="0"/>
          <w:numId w:val="5"/>
        </w:numPr>
        <w:pBdr>
          <w:left w:val="single" w:sz="4" w:space="4" w:color="auto"/>
        </w:pBdr>
        <w:ind w:right="708"/>
        <w:jc w:val="both"/>
      </w:pPr>
      <w:proofErr w:type="gramStart"/>
      <w:r>
        <w:t>de</w:t>
      </w:r>
      <w:proofErr w:type="gramEnd"/>
      <w:r>
        <w:t xml:space="preserve"> prévoir des quotas réduits ou augmentés pour les installations ayant connu une adaptation de leur allocation suite à la déclaration des niveaux d’activité de ces installations, du fait de modification des données de base de ces installations ou du fait de scissions d’installations.</w:t>
      </w:r>
    </w:p>
    <w:p w:rsidR="007B69D8" w:rsidRDefault="007B69D8" w:rsidP="00BB6423">
      <w:pPr>
        <w:pBdr>
          <w:left w:val="single" w:sz="4" w:space="4" w:color="auto"/>
        </w:pBdr>
        <w:jc w:val="both"/>
      </w:pPr>
    </w:p>
    <w:p w:rsidR="007B69D8" w:rsidRPr="007B69D8" w:rsidRDefault="007B69D8" w:rsidP="00BB6423">
      <w:pPr>
        <w:pStyle w:val="Textebrut"/>
        <w:pBdr>
          <w:left w:val="single" w:sz="4" w:space="4" w:color="auto"/>
        </w:pBdr>
        <w:jc w:val="both"/>
        <w:rPr>
          <w:i/>
        </w:rPr>
      </w:pPr>
      <w:hyperlink r:id="rId13" w:history="1">
        <w:r w:rsidRPr="007B69D8">
          <w:rPr>
            <w:rStyle w:val="Lienhypertexte"/>
            <w:b/>
            <w:i/>
            <w:color w:val="auto"/>
          </w:rPr>
          <w:t>Arrêté du 30 mars 2026</w:t>
        </w:r>
        <w:r w:rsidRPr="007B69D8">
          <w:rPr>
            <w:rStyle w:val="Lienhypertexte"/>
            <w:i/>
            <w:color w:val="auto"/>
          </w:rPr>
          <w:t xml:space="preserve"> modifiant l'arrêté du 10 décembre 2021 fixant la liste des exploitants d'installations soumises à autorisation pour les émissions de gaz à effet de serre ainsi que le montant des quotas d'émission affectés à titre gratuit pour les exploitants d'installations pour lesquelles des quotas d'émission à titre gratuit sont affectés, pour la période 2021-2025.</w:t>
        </w:r>
      </w:hyperlink>
    </w:p>
    <w:p w:rsidR="007B69D8" w:rsidRDefault="007B69D8" w:rsidP="007B69D8">
      <w:pPr>
        <w:pStyle w:val="Textebrut"/>
      </w:pPr>
    </w:p>
    <w:p w:rsidR="007B69D8" w:rsidRDefault="007B69D8" w:rsidP="007B69D8">
      <w:pPr>
        <w:pStyle w:val="Textebrut"/>
      </w:pPr>
    </w:p>
    <w:p w:rsidR="007B69D8" w:rsidRDefault="007B69D8" w:rsidP="00FF1864">
      <w:pPr>
        <w:jc w:val="both"/>
      </w:pPr>
    </w:p>
    <w:p w:rsidR="000E6286" w:rsidRDefault="000E6286" w:rsidP="000E6286">
      <w:pPr>
        <w:pStyle w:val="Titre1"/>
      </w:pPr>
      <w:bookmarkStart w:id="6" w:name="_Toc228798095"/>
      <w:r>
        <w:t>Environnement</w:t>
      </w:r>
      <w:bookmarkEnd w:id="6"/>
    </w:p>
    <w:p w:rsidR="000E6286" w:rsidRDefault="000E6286" w:rsidP="000E6286">
      <w:pPr>
        <w:pStyle w:val="Textebrut"/>
        <w:jc w:val="both"/>
      </w:pPr>
    </w:p>
    <w:p w:rsidR="000B7DE0" w:rsidRPr="004B52CB" w:rsidRDefault="000B7DE0" w:rsidP="007610CF">
      <w:pPr>
        <w:pStyle w:val="Textebrut"/>
        <w:pBdr>
          <w:left w:val="single" w:sz="4" w:space="4" w:color="auto"/>
        </w:pBdr>
        <w:jc w:val="both"/>
        <w:rPr>
          <w:b/>
        </w:rPr>
      </w:pPr>
      <w:r w:rsidRPr="004B52CB">
        <w:rPr>
          <w:b/>
        </w:rPr>
        <w:sym w:font="Wingdings" w:char="F0E8"/>
      </w:r>
      <w:r w:rsidRPr="004B52CB">
        <w:rPr>
          <w:b/>
        </w:rPr>
        <w:t xml:space="preserve"> </w:t>
      </w:r>
      <w:r w:rsidR="004B52CB" w:rsidRPr="004B52CB">
        <w:rPr>
          <w:b/>
        </w:rPr>
        <w:t>S</w:t>
      </w:r>
      <w:r w:rsidR="004B52CB" w:rsidRPr="004B52CB">
        <w:rPr>
          <w:b/>
        </w:rPr>
        <w:t>implification de la procédure contentieuse</w:t>
      </w:r>
      <w:r w:rsidR="004B52CB" w:rsidRPr="004B52CB">
        <w:rPr>
          <w:b/>
        </w:rPr>
        <w:t xml:space="preserve"> </w:t>
      </w:r>
      <w:r w:rsidR="004B52CB" w:rsidRPr="004B52CB">
        <w:rPr>
          <w:b/>
        </w:rPr>
        <w:t>en matière environnementale et à l’accélération de certains projets</w:t>
      </w:r>
    </w:p>
    <w:p w:rsidR="000B7DE0" w:rsidRDefault="000B7DE0" w:rsidP="007610CF">
      <w:pPr>
        <w:pStyle w:val="Textebrut"/>
        <w:pBdr>
          <w:left w:val="single" w:sz="4" w:space="4" w:color="auto"/>
        </w:pBdr>
        <w:jc w:val="both"/>
      </w:pPr>
    </w:p>
    <w:p w:rsidR="000B7DE0" w:rsidRDefault="000B7DE0" w:rsidP="007610CF">
      <w:pPr>
        <w:pStyle w:val="Textebrut"/>
        <w:pBdr>
          <w:left w:val="single" w:sz="4" w:space="4" w:color="auto"/>
        </w:pBdr>
        <w:jc w:val="both"/>
      </w:pPr>
      <w:r>
        <w:t>L</w:t>
      </w:r>
      <w:r>
        <w:t>e présent décret modifie le code de justice administrative en créant, à l’article R. 311-5, un nouveau</w:t>
      </w:r>
      <w:r>
        <w:t xml:space="preserve"> </w:t>
      </w:r>
      <w:r>
        <w:t xml:space="preserve">régime contentieux accéléré et unifié pour certains projets en matière environnementale. </w:t>
      </w:r>
    </w:p>
    <w:p w:rsidR="000B7DE0" w:rsidRDefault="000B7DE0" w:rsidP="007610CF">
      <w:pPr>
        <w:pStyle w:val="Textebrut"/>
        <w:pBdr>
          <w:left w:val="single" w:sz="4" w:space="4" w:color="auto"/>
        </w:pBdr>
        <w:jc w:val="both"/>
      </w:pPr>
    </w:p>
    <w:p w:rsidR="000B7DE0" w:rsidRDefault="000B7DE0" w:rsidP="007610CF">
      <w:pPr>
        <w:pStyle w:val="Textebrut"/>
        <w:pBdr>
          <w:left w:val="single" w:sz="4" w:space="4" w:color="auto"/>
        </w:pBdr>
        <w:jc w:val="both"/>
      </w:pPr>
      <w:r>
        <w:t>Il concerne les projets</w:t>
      </w:r>
      <w:r>
        <w:t xml:space="preserve"> </w:t>
      </w:r>
      <w:r>
        <w:t>contribuant à des objectifs définis (</w:t>
      </w:r>
      <w:r w:rsidRPr="007610CF">
        <w:rPr>
          <w:b/>
        </w:rPr>
        <w:t>développement des énergies décarbonées</w:t>
      </w:r>
      <w:r>
        <w:t>, infrastructures de transports,</w:t>
      </w:r>
      <w:r>
        <w:t xml:space="preserve"> </w:t>
      </w:r>
      <w:r>
        <w:t>opérations d’intérêt national et grandes opérations d’urbanisme, souveraineté économique et industrielle et</w:t>
      </w:r>
      <w:r>
        <w:t xml:space="preserve"> </w:t>
      </w:r>
      <w:r>
        <w:t xml:space="preserve">souveraineté alimentaire). </w:t>
      </w:r>
    </w:p>
    <w:p w:rsidR="000B7DE0" w:rsidRDefault="000B7DE0" w:rsidP="007610CF">
      <w:pPr>
        <w:pStyle w:val="Textebrut"/>
        <w:pBdr>
          <w:left w:val="single" w:sz="4" w:space="4" w:color="auto"/>
        </w:pBdr>
        <w:jc w:val="both"/>
      </w:pPr>
    </w:p>
    <w:p w:rsidR="000B7DE0" w:rsidRDefault="000B7DE0" w:rsidP="007610CF">
      <w:pPr>
        <w:pStyle w:val="Textebrut"/>
        <w:pBdr>
          <w:left w:val="single" w:sz="4" w:space="4" w:color="auto"/>
        </w:pBdr>
        <w:jc w:val="both"/>
      </w:pPr>
      <w:r>
        <w:t>Il confie la compétence pour juger les contentieux portant sur ces projets aux cours</w:t>
      </w:r>
      <w:r>
        <w:t xml:space="preserve"> </w:t>
      </w:r>
      <w:r>
        <w:t>administratives d’appel qui doivent statuer dans un délai de dix mois, et prévoit des règles de procédure</w:t>
      </w:r>
      <w:r>
        <w:t xml:space="preserve"> </w:t>
      </w:r>
      <w:r>
        <w:t>contentieuse particulières pour accélérer et sécuriser le traitement de ces contentieux.</w:t>
      </w:r>
    </w:p>
    <w:p w:rsidR="000B7DE0" w:rsidRDefault="000B7DE0" w:rsidP="007610CF">
      <w:pPr>
        <w:pStyle w:val="Textebrut"/>
        <w:pBdr>
          <w:left w:val="single" w:sz="4" w:space="4" w:color="auto"/>
        </w:pBdr>
        <w:jc w:val="both"/>
      </w:pPr>
    </w:p>
    <w:p w:rsidR="000B7DE0" w:rsidRPr="000B7DE0" w:rsidRDefault="000B7DE0" w:rsidP="007610CF">
      <w:pPr>
        <w:pStyle w:val="Textebrut"/>
        <w:pBdr>
          <w:left w:val="single" w:sz="4" w:space="4" w:color="auto"/>
        </w:pBdr>
        <w:jc w:val="both"/>
        <w:rPr>
          <w:i/>
        </w:rPr>
      </w:pPr>
      <w:hyperlink r:id="rId14" w:history="1">
        <w:r w:rsidRPr="000B7DE0">
          <w:rPr>
            <w:rStyle w:val="Lienhypertexte"/>
            <w:b/>
            <w:i/>
            <w:color w:val="auto"/>
          </w:rPr>
          <w:t>Décret n° 2026-302 du 21 avril 2026</w:t>
        </w:r>
        <w:r w:rsidRPr="000B7DE0">
          <w:rPr>
            <w:rStyle w:val="Lienhypertexte"/>
            <w:i/>
            <w:color w:val="auto"/>
          </w:rPr>
          <w:t xml:space="preserve"> relatif à la simplification de la procédure contentieuse en matière environnementale et à l'accélération de certains projets.</w:t>
        </w:r>
      </w:hyperlink>
    </w:p>
    <w:p w:rsidR="000B7DE0" w:rsidRDefault="000B7DE0" w:rsidP="000E6286">
      <w:pPr>
        <w:pStyle w:val="Textebrut"/>
        <w:jc w:val="both"/>
      </w:pPr>
    </w:p>
    <w:p w:rsidR="006678DA" w:rsidRDefault="006678DA" w:rsidP="000E6286">
      <w:pPr>
        <w:pStyle w:val="Textebrut"/>
        <w:jc w:val="both"/>
      </w:pPr>
    </w:p>
    <w:p w:rsidR="00615956" w:rsidRDefault="00615956" w:rsidP="000E6286">
      <w:pPr>
        <w:pStyle w:val="Textebrut"/>
        <w:jc w:val="both"/>
      </w:pPr>
    </w:p>
    <w:p w:rsidR="000114B8" w:rsidRDefault="000114B8" w:rsidP="000114B8">
      <w:pPr>
        <w:pStyle w:val="Titre1"/>
      </w:pPr>
      <w:bookmarkStart w:id="7" w:name="_Toc228798096"/>
      <w:r>
        <w:t>Géothermie</w:t>
      </w:r>
      <w:bookmarkEnd w:id="7"/>
    </w:p>
    <w:p w:rsidR="000114B8" w:rsidRDefault="000114B8" w:rsidP="00FF1864">
      <w:pPr>
        <w:jc w:val="both"/>
      </w:pPr>
    </w:p>
    <w:p w:rsidR="00034699" w:rsidRPr="00034699" w:rsidRDefault="00034699" w:rsidP="00034699">
      <w:pPr>
        <w:pBdr>
          <w:left w:val="single" w:sz="4" w:space="4" w:color="auto"/>
        </w:pBdr>
        <w:jc w:val="both"/>
        <w:rPr>
          <w:b/>
        </w:rPr>
      </w:pPr>
      <w:r w:rsidRPr="00034699">
        <w:rPr>
          <w:b/>
        </w:rPr>
        <w:sym w:font="Wingdings" w:char="F0E8"/>
      </w:r>
      <w:r w:rsidRPr="00034699">
        <w:rPr>
          <w:b/>
        </w:rPr>
        <w:t xml:space="preserve"> P</w:t>
      </w:r>
      <w:r w:rsidRPr="00034699">
        <w:rPr>
          <w:b/>
        </w:rPr>
        <w:t>ermis exclusif de recherches de gîtes géothermiques, dit « Permis de Cafres-Palmistes »</w:t>
      </w:r>
    </w:p>
    <w:p w:rsidR="00034699" w:rsidRDefault="00034699" w:rsidP="00034699">
      <w:pPr>
        <w:pBdr>
          <w:left w:val="single" w:sz="4" w:space="4" w:color="auto"/>
        </w:pBdr>
        <w:jc w:val="both"/>
      </w:pPr>
    </w:p>
    <w:p w:rsidR="00034699" w:rsidRPr="00034699" w:rsidRDefault="00034699" w:rsidP="00034699">
      <w:pPr>
        <w:pStyle w:val="Textebrut"/>
        <w:pBdr>
          <w:left w:val="single" w:sz="4" w:space="4" w:color="auto"/>
        </w:pBdr>
        <w:jc w:val="both"/>
        <w:rPr>
          <w:i/>
        </w:rPr>
      </w:pPr>
      <w:hyperlink r:id="rId15" w:history="1">
        <w:r w:rsidRPr="00034699">
          <w:rPr>
            <w:rStyle w:val="Lienhypertexte"/>
            <w:b/>
            <w:i/>
            <w:color w:val="auto"/>
          </w:rPr>
          <w:t xml:space="preserve">Arrêté du 1er avril 2026 </w:t>
        </w:r>
        <w:r w:rsidRPr="00034699">
          <w:rPr>
            <w:rStyle w:val="Lienhypertexte"/>
            <w:i/>
            <w:color w:val="auto"/>
          </w:rPr>
          <w:t>accordant un permis exclusif de recherches de gîtes géothermiques dit « Permis de Cafres-Palmistes » (La Réunion), à la société ENGIE ENERGIE SERVICES SA.</w:t>
        </w:r>
      </w:hyperlink>
    </w:p>
    <w:p w:rsidR="00034699" w:rsidRDefault="00034699" w:rsidP="00034699">
      <w:pPr>
        <w:pStyle w:val="Textebrut"/>
        <w:jc w:val="both"/>
      </w:pPr>
    </w:p>
    <w:p w:rsidR="00C22661" w:rsidRDefault="00C22661" w:rsidP="00034699">
      <w:pPr>
        <w:pStyle w:val="Textebrut"/>
        <w:jc w:val="both"/>
      </w:pPr>
    </w:p>
    <w:p w:rsidR="00615956" w:rsidRDefault="00615956" w:rsidP="00034699">
      <w:pPr>
        <w:pStyle w:val="Textebrut"/>
        <w:jc w:val="both"/>
      </w:pPr>
    </w:p>
    <w:p w:rsidR="000E6286" w:rsidRDefault="000E6286" w:rsidP="000E6286">
      <w:pPr>
        <w:pStyle w:val="Titre1"/>
      </w:pPr>
      <w:bookmarkStart w:id="8" w:name="_Toc228798097"/>
      <w:r>
        <w:t>Loi de finances</w:t>
      </w:r>
      <w:bookmarkEnd w:id="8"/>
    </w:p>
    <w:p w:rsidR="00B90A8B" w:rsidRDefault="00B90A8B" w:rsidP="00B90A8B"/>
    <w:p w:rsidR="00F03606" w:rsidRPr="00F144CA" w:rsidRDefault="00F03606" w:rsidP="00F144CA">
      <w:pPr>
        <w:pBdr>
          <w:left w:val="single" w:sz="4" w:space="4" w:color="auto"/>
        </w:pBdr>
        <w:rPr>
          <w:b/>
        </w:rPr>
      </w:pPr>
      <w:r w:rsidRPr="00F144CA">
        <w:rPr>
          <w:b/>
        </w:rPr>
        <w:sym w:font="Wingdings" w:char="F0E8"/>
      </w:r>
      <w:r w:rsidRPr="00F144CA">
        <w:rPr>
          <w:b/>
        </w:rPr>
        <w:t xml:space="preserve"> </w:t>
      </w:r>
      <w:r w:rsidR="00F144CA" w:rsidRPr="00F144CA">
        <w:rPr>
          <w:b/>
        </w:rPr>
        <w:t>M</w:t>
      </w:r>
      <w:r w:rsidR="00F144CA" w:rsidRPr="00F144CA">
        <w:rPr>
          <w:b/>
        </w:rPr>
        <w:t>odalités d’application de l’article 184 de la loi n</w:t>
      </w:r>
      <w:r w:rsidR="00F144CA" w:rsidRPr="00F144CA">
        <w:rPr>
          <w:b/>
        </w:rPr>
        <w:t>°</w:t>
      </w:r>
      <w:r w:rsidR="00F144CA" w:rsidRPr="00F144CA">
        <w:rPr>
          <w:b/>
        </w:rPr>
        <w:t>2026-103 du</w:t>
      </w:r>
      <w:r w:rsidR="00F144CA" w:rsidRPr="00F144CA">
        <w:rPr>
          <w:b/>
        </w:rPr>
        <w:t xml:space="preserve"> </w:t>
      </w:r>
      <w:r w:rsidR="00F144CA" w:rsidRPr="00F144CA">
        <w:rPr>
          <w:b/>
        </w:rPr>
        <w:t>19 février 2026 de finances</w:t>
      </w:r>
    </w:p>
    <w:p w:rsidR="00F03606" w:rsidRDefault="00F03606" w:rsidP="00F144CA">
      <w:pPr>
        <w:pBdr>
          <w:left w:val="single" w:sz="4" w:space="4" w:color="auto"/>
        </w:pBdr>
        <w:jc w:val="both"/>
      </w:pPr>
    </w:p>
    <w:p w:rsidR="00F03606" w:rsidRDefault="00F03606" w:rsidP="00F144CA">
      <w:pPr>
        <w:pBdr>
          <w:left w:val="single" w:sz="4" w:space="4" w:color="auto"/>
        </w:pBdr>
        <w:jc w:val="both"/>
      </w:pPr>
      <w:r>
        <w:t>L</w:t>
      </w:r>
      <w:r w:rsidRPr="00F03606">
        <w:t xml:space="preserve">e présent arrêté précise les modalités d’application de l’article 184 de la loi de finances pour 2026. </w:t>
      </w:r>
    </w:p>
    <w:p w:rsidR="00F03606" w:rsidRDefault="00F03606" w:rsidP="00F144CA">
      <w:pPr>
        <w:pBdr>
          <w:left w:val="single" w:sz="4" w:space="4" w:color="auto"/>
        </w:pBdr>
        <w:jc w:val="both"/>
      </w:pPr>
    </w:p>
    <w:p w:rsidR="00F03606" w:rsidRDefault="00F03606" w:rsidP="00F144CA">
      <w:pPr>
        <w:pBdr>
          <w:left w:val="single" w:sz="4" w:space="4" w:color="auto"/>
        </w:pBdr>
        <w:jc w:val="both"/>
      </w:pPr>
      <w:r w:rsidRPr="00F03606">
        <w:t>Il</w:t>
      </w:r>
      <w:r>
        <w:t xml:space="preserve"> </w:t>
      </w:r>
      <w:r w:rsidRPr="00F03606">
        <w:t>permet de verser la prime attribuée sous certaines conditions lorsque les prix de vente d’électricité la veille pour le</w:t>
      </w:r>
      <w:r>
        <w:t xml:space="preserve"> </w:t>
      </w:r>
      <w:r w:rsidRPr="00F03606">
        <w:t>lendemain sont négatifs indépendamment de la production pour les pas de temps de marché à prix négatifs isolés.</w:t>
      </w:r>
    </w:p>
    <w:p w:rsidR="00F03606" w:rsidRPr="00F03606" w:rsidRDefault="00F03606" w:rsidP="00F144CA">
      <w:pPr>
        <w:pBdr>
          <w:left w:val="single" w:sz="4" w:space="4" w:color="auto"/>
        </w:pBdr>
        <w:jc w:val="both"/>
      </w:pPr>
    </w:p>
    <w:p w:rsidR="00F03606" w:rsidRPr="00F03606" w:rsidRDefault="00F03606" w:rsidP="00F144CA">
      <w:pPr>
        <w:pBdr>
          <w:left w:val="single" w:sz="4" w:space="4" w:color="auto"/>
        </w:pBdr>
        <w:jc w:val="both"/>
      </w:pPr>
      <w:r w:rsidRPr="00F03606">
        <w:lastRenderedPageBreak/>
        <w:t>Il modifie en outre les conditions de versement de la prime en entrée et sortie de période de prix négatifs en</w:t>
      </w:r>
      <w:r>
        <w:t xml:space="preserve"> </w:t>
      </w:r>
      <w:r w:rsidRPr="00F03606">
        <w:t>introduisant un arrêt des installations différé en deux groupes. Les mesures prévues à l’article 3 pourraient ne</w:t>
      </w:r>
      <w:r>
        <w:t xml:space="preserve"> </w:t>
      </w:r>
      <w:r w:rsidRPr="00F03606">
        <w:t>s’appliquer qu’à titre transitoire, dès lors que les conditions de mise en œuvre technique et opérationnelle d’une</w:t>
      </w:r>
      <w:r>
        <w:t xml:space="preserve"> </w:t>
      </w:r>
      <w:r w:rsidRPr="00F03606">
        <w:t>solution alternative sont réunies.</w:t>
      </w:r>
    </w:p>
    <w:p w:rsidR="00F03606" w:rsidRDefault="00F03606" w:rsidP="00F144CA">
      <w:pPr>
        <w:pBdr>
          <w:left w:val="single" w:sz="4" w:space="4" w:color="auto"/>
        </w:pBdr>
        <w:rPr>
          <w:i/>
        </w:rPr>
      </w:pPr>
    </w:p>
    <w:p w:rsidR="00F03606" w:rsidRPr="00F03606" w:rsidRDefault="00F03606" w:rsidP="00F144CA">
      <w:pPr>
        <w:pBdr>
          <w:left w:val="single" w:sz="4" w:space="4" w:color="auto"/>
        </w:pBdr>
        <w:rPr>
          <w:i/>
        </w:rPr>
      </w:pPr>
      <w:hyperlink r:id="rId16" w:history="1">
        <w:r w:rsidRPr="00F03606">
          <w:rPr>
            <w:rStyle w:val="Lienhypertexte"/>
            <w:b/>
            <w:i/>
            <w:color w:val="auto"/>
          </w:rPr>
          <w:t>Arrêté du 16 avril 2026</w:t>
        </w:r>
        <w:r w:rsidRPr="00F03606">
          <w:rPr>
            <w:rStyle w:val="Lienhypertexte"/>
            <w:i/>
            <w:color w:val="auto"/>
          </w:rPr>
          <w:t xml:space="preserve"> relatif à l'application de l'article 184 de la loi de finances pour 2026.</w:t>
        </w:r>
      </w:hyperlink>
    </w:p>
    <w:p w:rsidR="00F03606" w:rsidRDefault="00F03606" w:rsidP="00B90A8B"/>
    <w:p w:rsidR="00F03606" w:rsidRDefault="00F03606" w:rsidP="00B90A8B"/>
    <w:p w:rsidR="00206033" w:rsidRDefault="00206033" w:rsidP="00B90A8B"/>
    <w:p w:rsidR="00B90A8B" w:rsidRPr="00B90A8B" w:rsidRDefault="00B90A8B" w:rsidP="00B90A8B">
      <w:pPr>
        <w:pStyle w:val="Titre1"/>
      </w:pPr>
      <w:bookmarkStart w:id="9" w:name="_Toc228798098"/>
      <w:r>
        <w:t>Maîtrise de l’eau</w:t>
      </w:r>
      <w:bookmarkEnd w:id="9"/>
    </w:p>
    <w:p w:rsidR="000E6286" w:rsidRDefault="000E6286" w:rsidP="000E6286">
      <w:pPr>
        <w:jc w:val="both"/>
      </w:pPr>
    </w:p>
    <w:p w:rsidR="00B90A8B" w:rsidRPr="00B90A8B" w:rsidRDefault="00B90A8B" w:rsidP="00B90A8B">
      <w:pPr>
        <w:pBdr>
          <w:left w:val="single" w:sz="4" w:space="4" w:color="auto"/>
        </w:pBdr>
        <w:jc w:val="both"/>
        <w:rPr>
          <w:b/>
        </w:rPr>
      </w:pPr>
      <w:r w:rsidRPr="00B90A8B">
        <w:rPr>
          <w:b/>
        </w:rPr>
        <w:sym w:font="Wingdings" w:char="F0E8"/>
      </w:r>
      <w:r w:rsidRPr="00B90A8B">
        <w:rPr>
          <w:b/>
        </w:rPr>
        <w:t xml:space="preserve"> Brevet de technicien supérieur « gestion et maîtrise de l’eau »</w:t>
      </w:r>
    </w:p>
    <w:p w:rsidR="00B90A8B" w:rsidRDefault="00B90A8B" w:rsidP="00B90A8B">
      <w:pPr>
        <w:pBdr>
          <w:left w:val="single" w:sz="4" w:space="4" w:color="auto"/>
        </w:pBdr>
        <w:jc w:val="both"/>
      </w:pPr>
    </w:p>
    <w:p w:rsidR="00B90A8B" w:rsidRDefault="00B90A8B" w:rsidP="00B90A8B">
      <w:pPr>
        <w:pBdr>
          <w:left w:val="single" w:sz="4" w:space="4" w:color="auto"/>
        </w:pBdr>
        <w:jc w:val="both"/>
      </w:pPr>
      <w:r w:rsidRPr="00B90A8B">
        <w:rPr>
          <w:b/>
        </w:rPr>
        <w:t>Art 1</w:t>
      </w:r>
      <w:r w:rsidRPr="00B90A8B">
        <w:rPr>
          <w:b/>
          <w:vertAlign w:val="superscript"/>
        </w:rPr>
        <w:t>er</w:t>
      </w:r>
      <w:r>
        <w:t xml:space="preserve"> </w:t>
      </w:r>
      <w:r>
        <w:t>Les candidats ayant échoué aux épreuves déterminées relevant de l’arrêté du 12 juillet 2011 portant</w:t>
      </w:r>
      <w:r>
        <w:t xml:space="preserve"> </w:t>
      </w:r>
      <w:r>
        <w:t xml:space="preserve">création et fixant les </w:t>
      </w:r>
      <w:proofErr w:type="spellStart"/>
      <w:r>
        <w:t>conditons</w:t>
      </w:r>
      <w:proofErr w:type="spellEnd"/>
      <w:r>
        <w:t xml:space="preserve"> de délivrance du brevet de technicien supérieur agricole option « gestion et maîtrise</w:t>
      </w:r>
      <w:r>
        <w:t xml:space="preserve"> </w:t>
      </w:r>
      <w:r>
        <w:t>de l’eau » susvisé et se présentant aux épreuves selon les modalités de l’arrêté du 19 juillet 2024 portant création et</w:t>
      </w:r>
      <w:r>
        <w:t xml:space="preserve"> </w:t>
      </w:r>
      <w:r>
        <w:t>fixant les conditions de délivrance du brevet de technicien supérieur agricole spécialité « gestion et maîtrise de</w:t>
      </w:r>
      <w:r>
        <w:t xml:space="preserve"> </w:t>
      </w:r>
      <w:r>
        <w:t>l’eau » peuvent bénéficier des équivalences d’épreuves déterminées en annexe.</w:t>
      </w:r>
      <w:r>
        <w:t xml:space="preserve"> […]</w:t>
      </w:r>
    </w:p>
    <w:p w:rsidR="00B90A8B" w:rsidRDefault="00B90A8B" w:rsidP="00B90A8B">
      <w:pPr>
        <w:pBdr>
          <w:left w:val="single" w:sz="4" w:space="4" w:color="auto"/>
        </w:pBdr>
        <w:jc w:val="both"/>
      </w:pPr>
    </w:p>
    <w:p w:rsidR="00B90A8B" w:rsidRPr="00B90A8B" w:rsidRDefault="00B90A8B" w:rsidP="00B90A8B">
      <w:pPr>
        <w:pBdr>
          <w:left w:val="single" w:sz="4" w:space="4" w:color="auto"/>
        </w:pBdr>
        <w:jc w:val="both"/>
        <w:rPr>
          <w:i/>
        </w:rPr>
      </w:pPr>
      <w:hyperlink r:id="rId17" w:history="1">
        <w:r w:rsidRPr="00B90A8B">
          <w:rPr>
            <w:rStyle w:val="Lienhypertexte"/>
            <w:b/>
            <w:i/>
            <w:color w:val="auto"/>
          </w:rPr>
          <w:t xml:space="preserve">Arrêté du 30 mars 2026 </w:t>
        </w:r>
        <w:r w:rsidRPr="00B90A8B">
          <w:rPr>
            <w:rStyle w:val="Lienhypertexte"/>
            <w:i/>
            <w:color w:val="auto"/>
          </w:rPr>
          <w:t>relatif aux modalités de la période transitoire liées à la rénovation du brevet de technicien supérieur agricole de la spécialité « gestion et maîtrise de l'eau ».</w:t>
        </w:r>
      </w:hyperlink>
    </w:p>
    <w:p w:rsidR="00B90A8B" w:rsidRDefault="00B90A8B" w:rsidP="00B90A8B">
      <w:pPr>
        <w:jc w:val="both"/>
      </w:pPr>
    </w:p>
    <w:p w:rsidR="00B90A8B" w:rsidRDefault="00B90A8B" w:rsidP="000E6286">
      <w:pPr>
        <w:jc w:val="both"/>
      </w:pPr>
    </w:p>
    <w:p w:rsidR="00206033" w:rsidRDefault="00206033" w:rsidP="000E6286">
      <w:pPr>
        <w:jc w:val="both"/>
      </w:pPr>
    </w:p>
    <w:p w:rsidR="00072236" w:rsidRDefault="00072236" w:rsidP="00072236">
      <w:pPr>
        <w:pStyle w:val="Titre1"/>
      </w:pPr>
      <w:bookmarkStart w:id="10" w:name="_Toc228798099"/>
      <w:r>
        <w:t>M</w:t>
      </w:r>
      <w:r>
        <w:t>écanisme d’ajustement carbone aux frontières</w:t>
      </w:r>
      <w:bookmarkEnd w:id="10"/>
    </w:p>
    <w:p w:rsidR="00072236" w:rsidRDefault="00072236" w:rsidP="00072236"/>
    <w:p w:rsidR="00072236" w:rsidRPr="00A114C5" w:rsidRDefault="00072236" w:rsidP="00A114C5">
      <w:pPr>
        <w:pBdr>
          <w:left w:val="single" w:sz="4" w:space="4" w:color="auto"/>
        </w:pBdr>
        <w:rPr>
          <w:b/>
        </w:rPr>
      </w:pPr>
      <w:r w:rsidRPr="00A114C5">
        <w:rPr>
          <w:b/>
        </w:rPr>
        <w:sym w:font="Wingdings" w:char="F0E8"/>
      </w:r>
      <w:r w:rsidRPr="00A114C5">
        <w:rPr>
          <w:b/>
        </w:rPr>
        <w:t xml:space="preserve"> Modalités de mise en œuvre du </w:t>
      </w:r>
      <w:r w:rsidR="00A114C5" w:rsidRPr="00A114C5">
        <w:rPr>
          <w:b/>
        </w:rPr>
        <w:t>règlement MACF</w:t>
      </w:r>
    </w:p>
    <w:p w:rsidR="00072236" w:rsidRDefault="00072236" w:rsidP="00A114C5">
      <w:pPr>
        <w:pBdr>
          <w:left w:val="single" w:sz="4" w:space="4" w:color="auto"/>
        </w:pBdr>
      </w:pPr>
    </w:p>
    <w:p w:rsidR="00072236" w:rsidRDefault="00072236" w:rsidP="00A114C5">
      <w:pPr>
        <w:pBdr>
          <w:left w:val="single" w:sz="4" w:space="4" w:color="auto"/>
        </w:pBdr>
      </w:pPr>
    </w:p>
    <w:p w:rsidR="00072236" w:rsidRPr="00072236" w:rsidRDefault="00072236" w:rsidP="00A114C5">
      <w:pPr>
        <w:pBdr>
          <w:left w:val="single" w:sz="4" w:space="4" w:color="auto"/>
        </w:pBdr>
        <w:jc w:val="both"/>
        <w:rPr>
          <w:i/>
        </w:rPr>
      </w:pPr>
      <w:hyperlink r:id="rId18" w:history="1">
        <w:r w:rsidRPr="00072236">
          <w:rPr>
            <w:rStyle w:val="Lienhypertexte"/>
            <w:b/>
            <w:i/>
            <w:color w:val="auto"/>
          </w:rPr>
          <w:t>Rapport au Président de la République relatif à l'ordonnance n° 2026-326 du 29 avril 2026</w:t>
        </w:r>
        <w:r w:rsidRPr="00072236">
          <w:rPr>
            <w:rStyle w:val="Lienhypertexte"/>
            <w:i/>
            <w:color w:val="auto"/>
          </w:rPr>
          <w:t xml:space="preserve"> portant adaptation du droit français aux textes pris pour l'application du règlement (UE) 2023/956 du Parlement européen et du Conseil du 10 mai 2023.</w:t>
        </w:r>
      </w:hyperlink>
    </w:p>
    <w:p w:rsidR="00072236" w:rsidRDefault="00072236" w:rsidP="00A114C5">
      <w:pPr>
        <w:pBdr>
          <w:left w:val="single" w:sz="4" w:space="4" w:color="auto"/>
        </w:pBdr>
      </w:pPr>
    </w:p>
    <w:p w:rsidR="00072236" w:rsidRPr="00072236" w:rsidRDefault="00072236" w:rsidP="00A114C5">
      <w:pPr>
        <w:pBdr>
          <w:left w:val="single" w:sz="4" w:space="4" w:color="auto"/>
        </w:pBdr>
        <w:jc w:val="both"/>
        <w:rPr>
          <w:i/>
        </w:rPr>
      </w:pPr>
      <w:hyperlink r:id="rId19" w:history="1">
        <w:r w:rsidRPr="00072236">
          <w:rPr>
            <w:rStyle w:val="Lienhypertexte"/>
            <w:b/>
            <w:i/>
            <w:color w:val="auto"/>
          </w:rPr>
          <w:t>Ordonnance n° 2026-326 du 29 avril 2026</w:t>
        </w:r>
        <w:r w:rsidRPr="00072236">
          <w:rPr>
            <w:rStyle w:val="Lienhypertexte"/>
            <w:i/>
            <w:color w:val="auto"/>
          </w:rPr>
          <w:t xml:space="preserve"> portant adaptation du droit français aux textes pris pour l'application du règlement (UE) 2023/956 du Parlement européen et du Conseil du 10 mai 2023.</w:t>
        </w:r>
      </w:hyperlink>
    </w:p>
    <w:p w:rsidR="00072236" w:rsidRDefault="00072236" w:rsidP="00072236"/>
    <w:p w:rsidR="00072236" w:rsidRDefault="00072236" w:rsidP="00072236"/>
    <w:p w:rsidR="00206033" w:rsidRPr="00072236" w:rsidRDefault="00206033" w:rsidP="00072236"/>
    <w:p w:rsidR="00347591" w:rsidRDefault="00F03FF1" w:rsidP="00F03FF1">
      <w:pPr>
        <w:pStyle w:val="Titre1"/>
      </w:pPr>
      <w:bookmarkStart w:id="11" w:name="_Toc228798100"/>
      <w:r>
        <w:t>Mines concession et recherche</w:t>
      </w:r>
      <w:bookmarkEnd w:id="11"/>
    </w:p>
    <w:p w:rsidR="00F03FF1" w:rsidRDefault="00F03FF1" w:rsidP="00F03FF1"/>
    <w:p w:rsidR="00F03FF1" w:rsidRPr="00B94446" w:rsidRDefault="00F03FF1" w:rsidP="00B94446">
      <w:pPr>
        <w:pStyle w:val="Textebrut"/>
        <w:pBdr>
          <w:left w:val="single" w:sz="4" w:space="4" w:color="auto"/>
        </w:pBdr>
        <w:jc w:val="both"/>
        <w:rPr>
          <w:rFonts w:asciiTheme="minorHAnsi" w:hAnsiTheme="minorHAnsi"/>
          <w:b/>
          <w:szCs w:val="22"/>
        </w:rPr>
      </w:pPr>
      <w:r w:rsidRPr="00B94446">
        <w:rPr>
          <w:rFonts w:asciiTheme="minorHAnsi" w:hAnsiTheme="minorHAnsi"/>
          <w:b/>
          <w:szCs w:val="22"/>
        </w:rPr>
        <w:sym w:font="Wingdings" w:char="F0E8"/>
      </w:r>
      <w:r w:rsidRPr="00B94446">
        <w:rPr>
          <w:rFonts w:asciiTheme="minorHAnsi" w:hAnsiTheme="minorHAnsi"/>
          <w:b/>
          <w:szCs w:val="22"/>
        </w:rPr>
        <w:t xml:space="preserve"> </w:t>
      </w:r>
      <w:r w:rsidR="00B94446" w:rsidRPr="00B94446">
        <w:rPr>
          <w:rFonts w:asciiTheme="minorHAnsi" w:hAnsiTheme="minorHAnsi"/>
          <w:b/>
          <w:szCs w:val="22"/>
        </w:rPr>
        <w:t>Concession de mines d’hydrocarbures liquides ou gazeux</w:t>
      </w:r>
    </w:p>
    <w:p w:rsidR="00B94446" w:rsidRDefault="00B94446" w:rsidP="00B94446">
      <w:pPr>
        <w:pStyle w:val="Textebrut"/>
        <w:pBdr>
          <w:left w:val="single" w:sz="4" w:space="4" w:color="auto"/>
        </w:pBdr>
        <w:jc w:val="both"/>
        <w:rPr>
          <w:rFonts w:asciiTheme="minorHAnsi" w:hAnsiTheme="minorHAnsi"/>
          <w:szCs w:val="22"/>
        </w:rPr>
      </w:pPr>
    </w:p>
    <w:p w:rsidR="00F03FF1" w:rsidRPr="00F03FF1" w:rsidRDefault="00F03FF1" w:rsidP="00B94446">
      <w:pPr>
        <w:pStyle w:val="Textebrut"/>
        <w:pBdr>
          <w:left w:val="single" w:sz="4" w:space="4" w:color="auto"/>
        </w:pBdr>
        <w:jc w:val="both"/>
        <w:rPr>
          <w:i/>
        </w:rPr>
      </w:pPr>
      <w:hyperlink r:id="rId20" w:history="1">
        <w:r w:rsidRPr="00F03FF1">
          <w:rPr>
            <w:rStyle w:val="Lienhypertexte"/>
            <w:b/>
            <w:i/>
            <w:color w:val="auto"/>
          </w:rPr>
          <w:t>Arrêté du 31 mars 2026</w:t>
        </w:r>
        <w:r w:rsidRPr="00F03FF1">
          <w:rPr>
            <w:rStyle w:val="Lienhypertexte"/>
            <w:i/>
            <w:color w:val="auto"/>
          </w:rPr>
          <w:t xml:space="preserve"> autorisant la mutation de la concession de mines d'hydrocarbures liquides ou gazeux dit « Concession de Fontaine-au-Bron » (Marne) à la société IPC PETROLEUM SA.</w:t>
        </w:r>
      </w:hyperlink>
    </w:p>
    <w:p w:rsidR="00B94446" w:rsidRDefault="00B94446" w:rsidP="00F03FF1"/>
    <w:p w:rsidR="00B94446" w:rsidRDefault="00B94446" w:rsidP="00F03FF1"/>
    <w:p w:rsidR="00A02DC3" w:rsidRDefault="00A02DC3" w:rsidP="00F03FF1"/>
    <w:p w:rsidR="00A02DC3" w:rsidRPr="00A02DC3" w:rsidRDefault="00A02DC3" w:rsidP="00A02DC3">
      <w:pPr>
        <w:pBdr>
          <w:left w:val="single" w:sz="4" w:space="4" w:color="auto"/>
        </w:pBdr>
        <w:rPr>
          <w:b/>
        </w:rPr>
      </w:pPr>
      <w:r w:rsidRPr="00A02DC3">
        <w:rPr>
          <w:b/>
        </w:rPr>
        <w:lastRenderedPageBreak/>
        <w:sym w:font="Wingdings" w:char="F0E8"/>
      </w:r>
      <w:r w:rsidRPr="00A02DC3">
        <w:rPr>
          <w:b/>
        </w:rPr>
        <w:t xml:space="preserve"> Permis exclusif de recherches de mines d’hydrogène natif, d’hélium et substances connexes</w:t>
      </w:r>
    </w:p>
    <w:p w:rsidR="00A02DC3" w:rsidRDefault="00A02DC3" w:rsidP="00A02DC3">
      <w:pPr>
        <w:pBdr>
          <w:left w:val="single" w:sz="4" w:space="4" w:color="auto"/>
        </w:pBdr>
      </w:pPr>
    </w:p>
    <w:p w:rsidR="00A02DC3" w:rsidRPr="00A02DC3" w:rsidRDefault="00A02DC3" w:rsidP="00A02DC3">
      <w:pPr>
        <w:pBdr>
          <w:left w:val="single" w:sz="4" w:space="4" w:color="auto"/>
        </w:pBdr>
        <w:jc w:val="both"/>
        <w:rPr>
          <w:i/>
        </w:rPr>
      </w:pPr>
      <w:hyperlink r:id="rId21" w:history="1">
        <w:r w:rsidRPr="00A02DC3">
          <w:rPr>
            <w:rStyle w:val="Lienhypertexte"/>
            <w:b/>
            <w:i/>
            <w:color w:val="auto"/>
          </w:rPr>
          <w:t>Arrêté du 31 mars 2026</w:t>
        </w:r>
        <w:r w:rsidRPr="00A02DC3">
          <w:rPr>
            <w:rStyle w:val="Lienhypertexte"/>
            <w:i/>
            <w:color w:val="auto"/>
          </w:rPr>
          <w:t xml:space="preserve"> accordant un permis exclusif de recherches de mines d'hydrogène natif, d'hélium et substances connexes dit « Permis de Comminges » (Haute-Garonne et Hautes-Pyrénées) au profit de la société G&amp;OL SAS.</w:t>
        </w:r>
      </w:hyperlink>
    </w:p>
    <w:p w:rsidR="00A02DC3" w:rsidRDefault="00A02DC3" w:rsidP="00A02DC3"/>
    <w:p w:rsidR="00F03FF1" w:rsidRDefault="00F03FF1" w:rsidP="00F03FF1"/>
    <w:p w:rsidR="00206033" w:rsidRPr="00F03FF1" w:rsidRDefault="00206033" w:rsidP="00F03FF1"/>
    <w:p w:rsidR="00347591" w:rsidRDefault="00347591" w:rsidP="00347591">
      <w:pPr>
        <w:pStyle w:val="Titre1"/>
      </w:pPr>
      <w:bookmarkStart w:id="12" w:name="_Toc228798101"/>
      <w:r>
        <w:t>Transport</w:t>
      </w:r>
      <w:bookmarkEnd w:id="12"/>
    </w:p>
    <w:p w:rsidR="00286D24" w:rsidRDefault="00286D24" w:rsidP="00AB3812">
      <w:pPr>
        <w:pStyle w:val="Textebrut"/>
      </w:pPr>
    </w:p>
    <w:p w:rsidR="00274626" w:rsidRPr="00274626" w:rsidRDefault="00274626" w:rsidP="004066E9">
      <w:pPr>
        <w:pStyle w:val="Textebrut"/>
        <w:pBdr>
          <w:left w:val="single" w:sz="4" w:space="4" w:color="auto"/>
        </w:pBdr>
        <w:rPr>
          <w:b/>
        </w:rPr>
      </w:pPr>
      <w:r w:rsidRPr="00274626">
        <w:rPr>
          <w:b/>
        </w:rPr>
        <w:sym w:font="Wingdings" w:char="F0E8"/>
      </w:r>
      <w:r w:rsidRPr="00274626">
        <w:rPr>
          <w:b/>
        </w:rPr>
        <w:t xml:space="preserve"> L</w:t>
      </w:r>
      <w:r w:rsidRPr="00274626">
        <w:rPr>
          <w:b/>
        </w:rPr>
        <w:t>iste des versions de voitures particulières électriques ayant atteint le score environnemental minimal</w:t>
      </w:r>
    </w:p>
    <w:p w:rsidR="00274626" w:rsidRDefault="00274626" w:rsidP="004066E9">
      <w:pPr>
        <w:pStyle w:val="Textebrut"/>
        <w:pBdr>
          <w:left w:val="single" w:sz="4" w:space="4" w:color="auto"/>
        </w:pBdr>
      </w:pPr>
    </w:p>
    <w:p w:rsidR="00730C0A" w:rsidRPr="0041288A" w:rsidRDefault="0041288A" w:rsidP="004066E9">
      <w:pPr>
        <w:pStyle w:val="Textebrut"/>
        <w:pBdr>
          <w:left w:val="single" w:sz="4" w:space="4" w:color="auto"/>
        </w:pBdr>
        <w:jc w:val="both"/>
        <w:rPr>
          <w:i/>
        </w:rPr>
      </w:pPr>
      <w:hyperlink r:id="rId22" w:history="1">
        <w:r w:rsidR="00730C0A" w:rsidRPr="0041288A">
          <w:rPr>
            <w:rStyle w:val="Lienhypertexte"/>
            <w:b/>
            <w:i/>
            <w:color w:val="auto"/>
          </w:rPr>
          <w:t>Arrêté du 15 avril 2026</w:t>
        </w:r>
        <w:r w:rsidR="00730C0A" w:rsidRPr="0041288A">
          <w:rPr>
            <w:rStyle w:val="Lienhypertexte"/>
            <w:i/>
            <w:color w:val="auto"/>
          </w:rPr>
          <w:t xml:space="preserve"> modifiant l'arrêté du 14 décembre 2023 fixant la liste des versions de voitures particulières électriques ayant atteint le score environnemental minimal conditionnant l'éligibilité à certaines aides à l'achat ou à la location de véhicules peu polluants</w:t>
        </w:r>
        <w:r w:rsidR="00274626" w:rsidRPr="0041288A">
          <w:rPr>
            <w:rStyle w:val="Lienhypertexte"/>
            <w:i/>
            <w:color w:val="auto"/>
          </w:rPr>
          <w:t>.</w:t>
        </w:r>
      </w:hyperlink>
    </w:p>
    <w:p w:rsidR="00730C0A" w:rsidRDefault="00730C0A" w:rsidP="00730C0A">
      <w:pPr>
        <w:pStyle w:val="Textebrut"/>
      </w:pPr>
    </w:p>
    <w:p w:rsidR="00206033" w:rsidRDefault="00206033" w:rsidP="00730C0A">
      <w:pPr>
        <w:pStyle w:val="Textebrut"/>
      </w:pPr>
    </w:p>
    <w:p w:rsidR="00730C0A" w:rsidRDefault="00730C0A" w:rsidP="00730C0A">
      <w:pPr>
        <w:pStyle w:val="Textebrut"/>
      </w:pPr>
    </w:p>
    <w:p w:rsidR="004B031C" w:rsidRDefault="004B031C" w:rsidP="004B031C">
      <w:pPr>
        <w:pStyle w:val="Titre1"/>
      </w:pPr>
      <w:bookmarkStart w:id="13" w:name="_Toc228798102"/>
      <w:r>
        <w:t xml:space="preserve">Zones </w:t>
      </w:r>
      <w:r w:rsidR="004066E9">
        <w:t>n</w:t>
      </w:r>
      <w:r>
        <w:t xml:space="preserve">on </w:t>
      </w:r>
      <w:r w:rsidR="004066E9">
        <w:t>i</w:t>
      </w:r>
      <w:r>
        <w:t>nterconnectées</w:t>
      </w:r>
      <w:bookmarkEnd w:id="13"/>
    </w:p>
    <w:p w:rsidR="004B031C" w:rsidRDefault="004B031C" w:rsidP="00090AAB">
      <w:pPr>
        <w:pStyle w:val="Textebrut"/>
      </w:pPr>
    </w:p>
    <w:p w:rsidR="00A5598C" w:rsidRPr="00A165BE" w:rsidRDefault="004B031C" w:rsidP="00A165BE">
      <w:pPr>
        <w:pStyle w:val="Textebrut"/>
        <w:pBdr>
          <w:left w:val="single" w:sz="4" w:space="4" w:color="auto"/>
        </w:pBdr>
        <w:jc w:val="both"/>
        <w:rPr>
          <w:b/>
        </w:rPr>
      </w:pPr>
      <w:r w:rsidRPr="00A165BE">
        <w:rPr>
          <w:b/>
        </w:rPr>
        <w:sym w:font="Wingdings" w:char="F0E8"/>
      </w:r>
      <w:r w:rsidRPr="00A165BE">
        <w:rPr>
          <w:b/>
        </w:rPr>
        <w:t xml:space="preserve"> Plafond de la compensation du coût des études relatives aux projets d'approvisionnement électrique dans les </w:t>
      </w:r>
      <w:r w:rsidR="004066E9">
        <w:rPr>
          <w:b/>
        </w:rPr>
        <w:t>ZNI</w:t>
      </w:r>
    </w:p>
    <w:p w:rsidR="00A165BE" w:rsidRDefault="00A165BE" w:rsidP="00A165BE">
      <w:pPr>
        <w:pStyle w:val="Textebrut"/>
        <w:pBdr>
          <w:left w:val="single" w:sz="4" w:space="4" w:color="auto"/>
        </w:pBdr>
        <w:jc w:val="both"/>
      </w:pPr>
    </w:p>
    <w:p w:rsidR="004B031C" w:rsidRDefault="004B031C" w:rsidP="00A165BE">
      <w:pPr>
        <w:pStyle w:val="Textebrut"/>
        <w:pBdr>
          <w:left w:val="single" w:sz="4" w:space="4" w:color="auto"/>
        </w:pBdr>
        <w:jc w:val="both"/>
      </w:pPr>
      <w:r>
        <w:t xml:space="preserve">Le présent arrêté précise la </w:t>
      </w:r>
      <w:r>
        <w:t>définition du plafond mentionné à l’article R. 121-29 du code de l’énergie relatif aux charges imputables aux missions de service public allouées à la compensation de l’ensemble des études relatives à un même projet d’approvisionnement électrique identifié dans la programmation pluriannuelle de l’énergie d’une zone non interconnectée au réseau métropolitain continental.</w:t>
      </w:r>
    </w:p>
    <w:p w:rsidR="004B031C" w:rsidRDefault="004B031C" w:rsidP="00A165BE">
      <w:pPr>
        <w:pStyle w:val="Textebrut"/>
        <w:pBdr>
          <w:left w:val="single" w:sz="4" w:space="4" w:color="auto"/>
        </w:pBdr>
      </w:pPr>
    </w:p>
    <w:p w:rsidR="00837A80" w:rsidRPr="004B031C" w:rsidRDefault="004B031C" w:rsidP="00A165BE">
      <w:pPr>
        <w:pStyle w:val="Textebrut"/>
        <w:pBdr>
          <w:left w:val="single" w:sz="4" w:space="4" w:color="auto"/>
        </w:pBdr>
        <w:jc w:val="both"/>
        <w:rPr>
          <w:i/>
        </w:rPr>
      </w:pPr>
      <w:hyperlink r:id="rId23" w:history="1">
        <w:r w:rsidR="00837A80" w:rsidRPr="004B031C">
          <w:rPr>
            <w:rStyle w:val="Lienhypertexte"/>
            <w:b/>
            <w:i/>
            <w:color w:val="auto"/>
          </w:rPr>
          <w:t>Arrêté du 16 avril 2026</w:t>
        </w:r>
        <w:r w:rsidR="00837A80" w:rsidRPr="004B031C">
          <w:rPr>
            <w:rStyle w:val="Lienhypertexte"/>
            <w:i/>
            <w:color w:val="auto"/>
          </w:rPr>
          <w:t xml:space="preserve"> pris en application de l'article R. 121-29 du code de l'énergie fixant le plafond de la compensation du coût des études relatives aux projets d'approvisionnement électrique identifiés dans la programmation pluriannuelle de l'énergie dans les zones non interconnectées</w:t>
        </w:r>
        <w:r w:rsidRPr="004B031C">
          <w:rPr>
            <w:rStyle w:val="Lienhypertexte"/>
            <w:i/>
            <w:color w:val="auto"/>
          </w:rPr>
          <w:t>.</w:t>
        </w:r>
      </w:hyperlink>
      <w:bookmarkStart w:id="14" w:name="_GoBack"/>
      <w:bookmarkEnd w:id="14"/>
    </w:p>
    <w:p w:rsidR="004B031C" w:rsidRDefault="004B031C" w:rsidP="00837A80">
      <w:pPr>
        <w:pStyle w:val="Textebrut"/>
      </w:pPr>
    </w:p>
    <w:p w:rsidR="00AA3B2D" w:rsidRDefault="00AA3B2D" w:rsidP="00AA3B2D">
      <w:pPr>
        <w:pStyle w:val="Textebrut"/>
      </w:pPr>
    </w:p>
    <w:p w:rsidR="00AA3B2D" w:rsidRDefault="00AA3B2D" w:rsidP="00837A80">
      <w:pPr>
        <w:pStyle w:val="Textebrut"/>
      </w:pPr>
    </w:p>
    <w:sectPr w:rsidR="00AA3B2D">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FDC" w:rsidRDefault="00D44FDC" w:rsidP="00D92460">
      <w:r>
        <w:separator/>
      </w:r>
    </w:p>
  </w:endnote>
  <w:endnote w:type="continuationSeparator" w:id="0">
    <w:p w:rsidR="00D44FDC" w:rsidRDefault="00D44FDC" w:rsidP="00D9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491846"/>
      <w:docPartObj>
        <w:docPartGallery w:val="Page Numbers (Bottom of Page)"/>
        <w:docPartUnique/>
      </w:docPartObj>
    </w:sdtPr>
    <w:sdtEndPr/>
    <w:sdtContent>
      <w:p w:rsidR="00D92460" w:rsidRDefault="00D92460">
        <w:pPr>
          <w:pStyle w:val="Pieddepage"/>
          <w:jc w:val="right"/>
        </w:pPr>
        <w:r>
          <w:fldChar w:fldCharType="begin"/>
        </w:r>
        <w:r>
          <w:instrText>PAGE   \* MERGEFORMAT</w:instrText>
        </w:r>
        <w:r>
          <w:fldChar w:fldCharType="separate"/>
        </w:r>
        <w:r>
          <w:t>2</w:t>
        </w:r>
        <w:r>
          <w:fldChar w:fldCharType="end"/>
        </w:r>
      </w:p>
    </w:sdtContent>
  </w:sdt>
  <w:p w:rsidR="00D92460" w:rsidRDefault="00D924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FDC" w:rsidRDefault="00D44FDC" w:rsidP="00D92460">
      <w:r>
        <w:separator/>
      </w:r>
    </w:p>
  </w:footnote>
  <w:footnote w:type="continuationSeparator" w:id="0">
    <w:p w:rsidR="00D44FDC" w:rsidRDefault="00D44FDC" w:rsidP="00D9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43662"/>
    <w:multiLevelType w:val="hybridMultilevel"/>
    <w:tmpl w:val="9B8A9D78"/>
    <w:lvl w:ilvl="0" w:tplc="36887A5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F8495E"/>
    <w:multiLevelType w:val="hybridMultilevel"/>
    <w:tmpl w:val="C9E4DC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1B6CF2"/>
    <w:multiLevelType w:val="hybridMultilevel"/>
    <w:tmpl w:val="B4964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D468FD"/>
    <w:multiLevelType w:val="hybridMultilevel"/>
    <w:tmpl w:val="1C38E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7D56FE"/>
    <w:multiLevelType w:val="hybridMultilevel"/>
    <w:tmpl w:val="23E43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BF91F3D"/>
    <w:multiLevelType w:val="hybridMultilevel"/>
    <w:tmpl w:val="4662A7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683F19"/>
    <w:multiLevelType w:val="hybridMultilevel"/>
    <w:tmpl w:val="C1C6402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num w:numId="1">
    <w:abstractNumId w:val="4"/>
  </w:num>
  <w:num w:numId="2">
    <w:abstractNumId w:val="6"/>
  </w:num>
  <w:num w:numId="3">
    <w:abstractNumId w:val="0"/>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04"/>
    <w:rsid w:val="000114B8"/>
    <w:rsid w:val="00030DDB"/>
    <w:rsid w:val="00034699"/>
    <w:rsid w:val="00034FEA"/>
    <w:rsid w:val="0003562B"/>
    <w:rsid w:val="000421A9"/>
    <w:rsid w:val="00045C0D"/>
    <w:rsid w:val="000508E4"/>
    <w:rsid w:val="0006248D"/>
    <w:rsid w:val="00072236"/>
    <w:rsid w:val="00077DC6"/>
    <w:rsid w:val="0008225C"/>
    <w:rsid w:val="00090AAB"/>
    <w:rsid w:val="000B7764"/>
    <w:rsid w:val="000B7DE0"/>
    <w:rsid w:val="000D5928"/>
    <w:rsid w:val="000E106E"/>
    <w:rsid w:val="000E3A76"/>
    <w:rsid w:val="000E6286"/>
    <w:rsid w:val="0010578C"/>
    <w:rsid w:val="00113B26"/>
    <w:rsid w:val="00114B69"/>
    <w:rsid w:val="00123886"/>
    <w:rsid w:val="00124168"/>
    <w:rsid w:val="00137481"/>
    <w:rsid w:val="0015167C"/>
    <w:rsid w:val="001560E5"/>
    <w:rsid w:val="00156DA4"/>
    <w:rsid w:val="0018306E"/>
    <w:rsid w:val="001A3B44"/>
    <w:rsid w:val="001E2E01"/>
    <w:rsid w:val="00206033"/>
    <w:rsid w:val="00225435"/>
    <w:rsid w:val="00260921"/>
    <w:rsid w:val="002609E9"/>
    <w:rsid w:val="00274626"/>
    <w:rsid w:val="00286D24"/>
    <w:rsid w:val="00291138"/>
    <w:rsid w:val="002959F3"/>
    <w:rsid w:val="00297934"/>
    <w:rsid w:val="002B2D22"/>
    <w:rsid w:val="002D13E3"/>
    <w:rsid w:val="002E1B81"/>
    <w:rsid w:val="002E23C7"/>
    <w:rsid w:val="002E326B"/>
    <w:rsid w:val="002E5509"/>
    <w:rsid w:val="002F3015"/>
    <w:rsid w:val="00301420"/>
    <w:rsid w:val="0031157D"/>
    <w:rsid w:val="0032730B"/>
    <w:rsid w:val="0034400F"/>
    <w:rsid w:val="0034625F"/>
    <w:rsid w:val="00347591"/>
    <w:rsid w:val="0035131B"/>
    <w:rsid w:val="003568F7"/>
    <w:rsid w:val="00370EF4"/>
    <w:rsid w:val="00371CF4"/>
    <w:rsid w:val="0038708F"/>
    <w:rsid w:val="00392040"/>
    <w:rsid w:val="0039532D"/>
    <w:rsid w:val="003B61AA"/>
    <w:rsid w:val="003D19D4"/>
    <w:rsid w:val="003E6E14"/>
    <w:rsid w:val="003E7F35"/>
    <w:rsid w:val="003F69AD"/>
    <w:rsid w:val="004066E9"/>
    <w:rsid w:val="0041288A"/>
    <w:rsid w:val="00424F07"/>
    <w:rsid w:val="00437F2F"/>
    <w:rsid w:val="00453E7A"/>
    <w:rsid w:val="00455BD6"/>
    <w:rsid w:val="00457DE2"/>
    <w:rsid w:val="004668E0"/>
    <w:rsid w:val="00481309"/>
    <w:rsid w:val="004A2CCC"/>
    <w:rsid w:val="004B031C"/>
    <w:rsid w:val="004B52CB"/>
    <w:rsid w:val="004C269B"/>
    <w:rsid w:val="004D29A0"/>
    <w:rsid w:val="004D5A75"/>
    <w:rsid w:val="004F451F"/>
    <w:rsid w:val="0050365C"/>
    <w:rsid w:val="00541617"/>
    <w:rsid w:val="005655EE"/>
    <w:rsid w:val="005727C1"/>
    <w:rsid w:val="00575129"/>
    <w:rsid w:val="00597FBD"/>
    <w:rsid w:val="005A00B8"/>
    <w:rsid w:val="005B5C5F"/>
    <w:rsid w:val="005E7ED0"/>
    <w:rsid w:val="005F6147"/>
    <w:rsid w:val="006035EB"/>
    <w:rsid w:val="00607D71"/>
    <w:rsid w:val="00615302"/>
    <w:rsid w:val="00615956"/>
    <w:rsid w:val="006353BE"/>
    <w:rsid w:val="00642876"/>
    <w:rsid w:val="006442C3"/>
    <w:rsid w:val="00644658"/>
    <w:rsid w:val="00653AFD"/>
    <w:rsid w:val="0065702D"/>
    <w:rsid w:val="006678DA"/>
    <w:rsid w:val="0067563F"/>
    <w:rsid w:val="00675BDB"/>
    <w:rsid w:val="006A1C2E"/>
    <w:rsid w:val="006B497E"/>
    <w:rsid w:val="006C28FC"/>
    <w:rsid w:val="006C65A9"/>
    <w:rsid w:val="00705ABC"/>
    <w:rsid w:val="00717478"/>
    <w:rsid w:val="00717692"/>
    <w:rsid w:val="00723262"/>
    <w:rsid w:val="00730C0A"/>
    <w:rsid w:val="00731C35"/>
    <w:rsid w:val="00734752"/>
    <w:rsid w:val="00736A33"/>
    <w:rsid w:val="007610CF"/>
    <w:rsid w:val="00762EF4"/>
    <w:rsid w:val="00776855"/>
    <w:rsid w:val="007A6590"/>
    <w:rsid w:val="007B3587"/>
    <w:rsid w:val="007B45FA"/>
    <w:rsid w:val="007B69D8"/>
    <w:rsid w:val="007C563A"/>
    <w:rsid w:val="007D3F89"/>
    <w:rsid w:val="007E695A"/>
    <w:rsid w:val="007E7380"/>
    <w:rsid w:val="008044BB"/>
    <w:rsid w:val="00824363"/>
    <w:rsid w:val="0082569B"/>
    <w:rsid w:val="008300FA"/>
    <w:rsid w:val="00832C75"/>
    <w:rsid w:val="00837A80"/>
    <w:rsid w:val="00845A70"/>
    <w:rsid w:val="00866343"/>
    <w:rsid w:val="008A0D83"/>
    <w:rsid w:val="008A2145"/>
    <w:rsid w:val="008B0666"/>
    <w:rsid w:val="008B77B8"/>
    <w:rsid w:val="008C1373"/>
    <w:rsid w:val="008C67D9"/>
    <w:rsid w:val="008D134C"/>
    <w:rsid w:val="008E0FEF"/>
    <w:rsid w:val="008E179E"/>
    <w:rsid w:val="008F1A2B"/>
    <w:rsid w:val="008F2EFB"/>
    <w:rsid w:val="008F78E8"/>
    <w:rsid w:val="00906028"/>
    <w:rsid w:val="00931773"/>
    <w:rsid w:val="00954731"/>
    <w:rsid w:val="00961C26"/>
    <w:rsid w:val="00964BD0"/>
    <w:rsid w:val="00965B05"/>
    <w:rsid w:val="0098358D"/>
    <w:rsid w:val="00993BDD"/>
    <w:rsid w:val="00996BB3"/>
    <w:rsid w:val="009B085D"/>
    <w:rsid w:val="009C28BC"/>
    <w:rsid w:val="009C28F4"/>
    <w:rsid w:val="009C37E8"/>
    <w:rsid w:val="009C4668"/>
    <w:rsid w:val="009F03E4"/>
    <w:rsid w:val="00A02DC3"/>
    <w:rsid w:val="00A05488"/>
    <w:rsid w:val="00A114C5"/>
    <w:rsid w:val="00A14DB6"/>
    <w:rsid w:val="00A165BE"/>
    <w:rsid w:val="00A27679"/>
    <w:rsid w:val="00A34FB9"/>
    <w:rsid w:val="00A5598C"/>
    <w:rsid w:val="00A564CA"/>
    <w:rsid w:val="00A670E8"/>
    <w:rsid w:val="00A67E1F"/>
    <w:rsid w:val="00A71AE3"/>
    <w:rsid w:val="00A84207"/>
    <w:rsid w:val="00A948A6"/>
    <w:rsid w:val="00AA057A"/>
    <w:rsid w:val="00AA3B2D"/>
    <w:rsid w:val="00AA6161"/>
    <w:rsid w:val="00AA77E4"/>
    <w:rsid w:val="00AB3812"/>
    <w:rsid w:val="00AB39E8"/>
    <w:rsid w:val="00AB6FA7"/>
    <w:rsid w:val="00B02917"/>
    <w:rsid w:val="00B11543"/>
    <w:rsid w:val="00B12CCD"/>
    <w:rsid w:val="00B27864"/>
    <w:rsid w:val="00B464C5"/>
    <w:rsid w:val="00B46E94"/>
    <w:rsid w:val="00B47474"/>
    <w:rsid w:val="00B565C0"/>
    <w:rsid w:val="00B772CD"/>
    <w:rsid w:val="00B90A8B"/>
    <w:rsid w:val="00B91B37"/>
    <w:rsid w:val="00B94446"/>
    <w:rsid w:val="00BA19A6"/>
    <w:rsid w:val="00BB6423"/>
    <w:rsid w:val="00BC627C"/>
    <w:rsid w:val="00BF4A50"/>
    <w:rsid w:val="00C010F4"/>
    <w:rsid w:val="00C155E0"/>
    <w:rsid w:val="00C179C1"/>
    <w:rsid w:val="00C22661"/>
    <w:rsid w:val="00C25958"/>
    <w:rsid w:val="00C375E9"/>
    <w:rsid w:val="00C437B0"/>
    <w:rsid w:val="00C44074"/>
    <w:rsid w:val="00C556A8"/>
    <w:rsid w:val="00C96CAE"/>
    <w:rsid w:val="00CC1744"/>
    <w:rsid w:val="00CC49D3"/>
    <w:rsid w:val="00CF70B7"/>
    <w:rsid w:val="00D00482"/>
    <w:rsid w:val="00D11C86"/>
    <w:rsid w:val="00D161F2"/>
    <w:rsid w:val="00D3085B"/>
    <w:rsid w:val="00D30903"/>
    <w:rsid w:val="00D44FDC"/>
    <w:rsid w:val="00D46C0D"/>
    <w:rsid w:val="00D75952"/>
    <w:rsid w:val="00D8438E"/>
    <w:rsid w:val="00D92460"/>
    <w:rsid w:val="00DA337D"/>
    <w:rsid w:val="00DA3CA3"/>
    <w:rsid w:val="00DA6A0A"/>
    <w:rsid w:val="00DB1B10"/>
    <w:rsid w:val="00DB6477"/>
    <w:rsid w:val="00DC0BB1"/>
    <w:rsid w:val="00DC302A"/>
    <w:rsid w:val="00DD1675"/>
    <w:rsid w:val="00E008B1"/>
    <w:rsid w:val="00E1393A"/>
    <w:rsid w:val="00E2162E"/>
    <w:rsid w:val="00E23C7A"/>
    <w:rsid w:val="00E36C0D"/>
    <w:rsid w:val="00E4092A"/>
    <w:rsid w:val="00E46C2E"/>
    <w:rsid w:val="00E53CE0"/>
    <w:rsid w:val="00E57F8F"/>
    <w:rsid w:val="00E65D77"/>
    <w:rsid w:val="00E66934"/>
    <w:rsid w:val="00E67B50"/>
    <w:rsid w:val="00E705AE"/>
    <w:rsid w:val="00E71268"/>
    <w:rsid w:val="00EA2731"/>
    <w:rsid w:val="00EB3410"/>
    <w:rsid w:val="00EB5104"/>
    <w:rsid w:val="00EB61E4"/>
    <w:rsid w:val="00EC5257"/>
    <w:rsid w:val="00EE5D4B"/>
    <w:rsid w:val="00EE6DC5"/>
    <w:rsid w:val="00EF29B5"/>
    <w:rsid w:val="00F03606"/>
    <w:rsid w:val="00F03FF1"/>
    <w:rsid w:val="00F122F6"/>
    <w:rsid w:val="00F144CA"/>
    <w:rsid w:val="00F31BFA"/>
    <w:rsid w:val="00F345BE"/>
    <w:rsid w:val="00F372F4"/>
    <w:rsid w:val="00F4029F"/>
    <w:rsid w:val="00F605B2"/>
    <w:rsid w:val="00F64D9B"/>
    <w:rsid w:val="00F66832"/>
    <w:rsid w:val="00F80383"/>
    <w:rsid w:val="00F83B87"/>
    <w:rsid w:val="00FA6690"/>
    <w:rsid w:val="00FB6EF4"/>
    <w:rsid w:val="00FB6F59"/>
    <w:rsid w:val="00FB7C1D"/>
    <w:rsid w:val="00FE2A7C"/>
    <w:rsid w:val="00FE44F3"/>
    <w:rsid w:val="00FE620C"/>
    <w:rsid w:val="00FF004B"/>
    <w:rsid w:val="00FF1864"/>
    <w:rsid w:val="00FF25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AE81"/>
  <w15:chartTrackingRefBased/>
  <w15:docId w15:val="{FB111CA6-0AA6-48FD-BC14-C00BBB36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5104"/>
    <w:pPr>
      <w:spacing w:after="0" w:line="240" w:lineRule="auto"/>
    </w:pPr>
  </w:style>
  <w:style w:type="paragraph" w:styleId="Titre1">
    <w:name w:val="heading 1"/>
    <w:basedOn w:val="Normal"/>
    <w:next w:val="Normal"/>
    <w:link w:val="Titre1Car"/>
    <w:uiPriority w:val="9"/>
    <w:qFormat/>
    <w:rsid w:val="007C563A"/>
    <w:pPr>
      <w:keepNext/>
      <w:keepLines/>
      <w:spacing w:before="240"/>
      <w:jc w:val="both"/>
      <w:outlineLvl w:val="0"/>
    </w:pPr>
    <w:rPr>
      <w:rFonts w:ascii="Calibri" w:eastAsiaTheme="majorEastAsia" w:hAnsi="Calibri" w:cstheme="majorBidi"/>
      <w:b/>
      <w:i/>
      <w:color w:val="0070C0"/>
      <w:sz w:val="28"/>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5104"/>
    <w:rPr>
      <w:color w:val="0563C1" w:themeColor="hyperlink"/>
      <w:u w:val="single"/>
    </w:rPr>
  </w:style>
  <w:style w:type="paragraph" w:styleId="Textebrut">
    <w:name w:val="Plain Text"/>
    <w:basedOn w:val="Normal"/>
    <w:link w:val="TextebrutCar"/>
    <w:uiPriority w:val="99"/>
    <w:unhideWhenUsed/>
    <w:rsid w:val="00EB5104"/>
    <w:rPr>
      <w:rFonts w:ascii="Calibri" w:hAnsi="Calibri"/>
      <w:szCs w:val="21"/>
    </w:rPr>
  </w:style>
  <w:style w:type="character" w:customStyle="1" w:styleId="TextebrutCar">
    <w:name w:val="Texte brut Car"/>
    <w:basedOn w:val="Policepardfaut"/>
    <w:link w:val="Textebrut"/>
    <w:uiPriority w:val="99"/>
    <w:rsid w:val="00EB5104"/>
    <w:rPr>
      <w:rFonts w:ascii="Calibri" w:hAnsi="Calibri"/>
      <w:szCs w:val="21"/>
    </w:rPr>
  </w:style>
  <w:style w:type="character" w:styleId="Mentionnonrsolue">
    <w:name w:val="Unresolved Mention"/>
    <w:basedOn w:val="Policepardfaut"/>
    <w:uiPriority w:val="99"/>
    <w:semiHidden/>
    <w:unhideWhenUsed/>
    <w:rsid w:val="00906028"/>
    <w:rPr>
      <w:color w:val="605E5C"/>
      <w:shd w:val="clear" w:color="auto" w:fill="E1DFDD"/>
    </w:rPr>
  </w:style>
  <w:style w:type="character" w:styleId="Lienhypertextesuivivisit">
    <w:name w:val="FollowedHyperlink"/>
    <w:basedOn w:val="Policepardfaut"/>
    <w:uiPriority w:val="99"/>
    <w:semiHidden/>
    <w:unhideWhenUsed/>
    <w:rsid w:val="0006248D"/>
    <w:rPr>
      <w:color w:val="954F72" w:themeColor="followedHyperlink"/>
      <w:u w:val="single"/>
    </w:rPr>
  </w:style>
  <w:style w:type="paragraph" w:styleId="En-tte">
    <w:name w:val="header"/>
    <w:basedOn w:val="Normal"/>
    <w:link w:val="En-tteCar"/>
    <w:uiPriority w:val="99"/>
    <w:unhideWhenUsed/>
    <w:rsid w:val="00D92460"/>
    <w:pPr>
      <w:tabs>
        <w:tab w:val="center" w:pos="4536"/>
        <w:tab w:val="right" w:pos="9072"/>
      </w:tabs>
    </w:pPr>
  </w:style>
  <w:style w:type="character" w:customStyle="1" w:styleId="En-tteCar">
    <w:name w:val="En-tête Car"/>
    <w:basedOn w:val="Policepardfaut"/>
    <w:link w:val="En-tte"/>
    <w:uiPriority w:val="99"/>
    <w:rsid w:val="00D92460"/>
  </w:style>
  <w:style w:type="paragraph" w:styleId="Pieddepage">
    <w:name w:val="footer"/>
    <w:basedOn w:val="Normal"/>
    <w:link w:val="PieddepageCar"/>
    <w:uiPriority w:val="99"/>
    <w:unhideWhenUsed/>
    <w:rsid w:val="00D92460"/>
    <w:pPr>
      <w:tabs>
        <w:tab w:val="center" w:pos="4536"/>
        <w:tab w:val="right" w:pos="9072"/>
      </w:tabs>
    </w:pPr>
  </w:style>
  <w:style w:type="character" w:customStyle="1" w:styleId="PieddepageCar">
    <w:name w:val="Pied de page Car"/>
    <w:basedOn w:val="Policepardfaut"/>
    <w:link w:val="Pieddepage"/>
    <w:uiPriority w:val="99"/>
    <w:rsid w:val="00D92460"/>
  </w:style>
  <w:style w:type="character" w:customStyle="1" w:styleId="Titre1Car">
    <w:name w:val="Titre 1 Car"/>
    <w:basedOn w:val="Policepardfaut"/>
    <w:link w:val="Titre1"/>
    <w:uiPriority w:val="9"/>
    <w:rsid w:val="007C563A"/>
    <w:rPr>
      <w:rFonts w:ascii="Calibri" w:eastAsiaTheme="majorEastAsia" w:hAnsi="Calibri" w:cstheme="majorBidi"/>
      <w:b/>
      <w:i/>
      <w:color w:val="0070C0"/>
      <w:sz w:val="28"/>
      <w:szCs w:val="32"/>
    </w:rPr>
  </w:style>
  <w:style w:type="paragraph" w:styleId="En-ttedetabledesmatires">
    <w:name w:val="TOC Heading"/>
    <w:basedOn w:val="Titre1"/>
    <w:next w:val="Normal"/>
    <w:uiPriority w:val="39"/>
    <w:unhideWhenUsed/>
    <w:qFormat/>
    <w:rsid w:val="00481309"/>
    <w:pPr>
      <w:spacing w:line="259" w:lineRule="auto"/>
      <w:outlineLvl w:val="9"/>
    </w:pPr>
    <w:rPr>
      <w:rFonts w:asciiTheme="majorHAnsi" w:hAnsiTheme="majorHAnsi"/>
      <w:b w:val="0"/>
      <w:i w:val="0"/>
      <w:color w:val="2F5496" w:themeColor="accent1" w:themeShade="BF"/>
      <w:sz w:val="32"/>
      <w:lang w:eastAsia="fr-FR"/>
    </w:rPr>
  </w:style>
  <w:style w:type="paragraph" w:styleId="TM1">
    <w:name w:val="toc 1"/>
    <w:basedOn w:val="Normal"/>
    <w:next w:val="Normal"/>
    <w:autoRedefine/>
    <w:uiPriority w:val="39"/>
    <w:unhideWhenUsed/>
    <w:rsid w:val="00481309"/>
    <w:pPr>
      <w:spacing w:after="100"/>
    </w:pPr>
  </w:style>
  <w:style w:type="paragraph" w:styleId="Paragraphedeliste">
    <w:name w:val="List Paragraph"/>
    <w:basedOn w:val="Normal"/>
    <w:uiPriority w:val="34"/>
    <w:qFormat/>
    <w:rsid w:val="007C5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6375">
      <w:bodyDiv w:val="1"/>
      <w:marLeft w:val="0"/>
      <w:marRight w:val="0"/>
      <w:marTop w:val="0"/>
      <w:marBottom w:val="0"/>
      <w:divBdr>
        <w:top w:val="none" w:sz="0" w:space="0" w:color="auto"/>
        <w:left w:val="none" w:sz="0" w:space="0" w:color="auto"/>
        <w:bottom w:val="none" w:sz="0" w:space="0" w:color="auto"/>
        <w:right w:val="none" w:sz="0" w:space="0" w:color="auto"/>
      </w:divBdr>
    </w:div>
    <w:div w:id="50035809">
      <w:bodyDiv w:val="1"/>
      <w:marLeft w:val="0"/>
      <w:marRight w:val="0"/>
      <w:marTop w:val="0"/>
      <w:marBottom w:val="0"/>
      <w:divBdr>
        <w:top w:val="none" w:sz="0" w:space="0" w:color="auto"/>
        <w:left w:val="none" w:sz="0" w:space="0" w:color="auto"/>
        <w:bottom w:val="none" w:sz="0" w:space="0" w:color="auto"/>
        <w:right w:val="none" w:sz="0" w:space="0" w:color="auto"/>
      </w:divBdr>
    </w:div>
    <w:div w:id="96826842">
      <w:bodyDiv w:val="1"/>
      <w:marLeft w:val="0"/>
      <w:marRight w:val="0"/>
      <w:marTop w:val="0"/>
      <w:marBottom w:val="0"/>
      <w:divBdr>
        <w:top w:val="none" w:sz="0" w:space="0" w:color="auto"/>
        <w:left w:val="none" w:sz="0" w:space="0" w:color="auto"/>
        <w:bottom w:val="none" w:sz="0" w:space="0" w:color="auto"/>
        <w:right w:val="none" w:sz="0" w:space="0" w:color="auto"/>
      </w:divBdr>
    </w:div>
    <w:div w:id="136731777">
      <w:bodyDiv w:val="1"/>
      <w:marLeft w:val="0"/>
      <w:marRight w:val="0"/>
      <w:marTop w:val="0"/>
      <w:marBottom w:val="0"/>
      <w:divBdr>
        <w:top w:val="none" w:sz="0" w:space="0" w:color="auto"/>
        <w:left w:val="none" w:sz="0" w:space="0" w:color="auto"/>
        <w:bottom w:val="none" w:sz="0" w:space="0" w:color="auto"/>
        <w:right w:val="none" w:sz="0" w:space="0" w:color="auto"/>
      </w:divBdr>
    </w:div>
    <w:div w:id="137888414">
      <w:bodyDiv w:val="1"/>
      <w:marLeft w:val="0"/>
      <w:marRight w:val="0"/>
      <w:marTop w:val="0"/>
      <w:marBottom w:val="0"/>
      <w:divBdr>
        <w:top w:val="none" w:sz="0" w:space="0" w:color="auto"/>
        <w:left w:val="none" w:sz="0" w:space="0" w:color="auto"/>
        <w:bottom w:val="none" w:sz="0" w:space="0" w:color="auto"/>
        <w:right w:val="none" w:sz="0" w:space="0" w:color="auto"/>
      </w:divBdr>
    </w:div>
    <w:div w:id="188491024">
      <w:bodyDiv w:val="1"/>
      <w:marLeft w:val="0"/>
      <w:marRight w:val="0"/>
      <w:marTop w:val="0"/>
      <w:marBottom w:val="0"/>
      <w:divBdr>
        <w:top w:val="none" w:sz="0" w:space="0" w:color="auto"/>
        <w:left w:val="none" w:sz="0" w:space="0" w:color="auto"/>
        <w:bottom w:val="none" w:sz="0" w:space="0" w:color="auto"/>
        <w:right w:val="none" w:sz="0" w:space="0" w:color="auto"/>
      </w:divBdr>
    </w:div>
    <w:div w:id="191696419">
      <w:bodyDiv w:val="1"/>
      <w:marLeft w:val="0"/>
      <w:marRight w:val="0"/>
      <w:marTop w:val="0"/>
      <w:marBottom w:val="0"/>
      <w:divBdr>
        <w:top w:val="none" w:sz="0" w:space="0" w:color="auto"/>
        <w:left w:val="none" w:sz="0" w:space="0" w:color="auto"/>
        <w:bottom w:val="none" w:sz="0" w:space="0" w:color="auto"/>
        <w:right w:val="none" w:sz="0" w:space="0" w:color="auto"/>
      </w:divBdr>
    </w:div>
    <w:div w:id="192231327">
      <w:bodyDiv w:val="1"/>
      <w:marLeft w:val="0"/>
      <w:marRight w:val="0"/>
      <w:marTop w:val="0"/>
      <w:marBottom w:val="0"/>
      <w:divBdr>
        <w:top w:val="none" w:sz="0" w:space="0" w:color="auto"/>
        <w:left w:val="none" w:sz="0" w:space="0" w:color="auto"/>
        <w:bottom w:val="none" w:sz="0" w:space="0" w:color="auto"/>
        <w:right w:val="none" w:sz="0" w:space="0" w:color="auto"/>
      </w:divBdr>
    </w:div>
    <w:div w:id="215355517">
      <w:bodyDiv w:val="1"/>
      <w:marLeft w:val="0"/>
      <w:marRight w:val="0"/>
      <w:marTop w:val="0"/>
      <w:marBottom w:val="0"/>
      <w:divBdr>
        <w:top w:val="none" w:sz="0" w:space="0" w:color="auto"/>
        <w:left w:val="none" w:sz="0" w:space="0" w:color="auto"/>
        <w:bottom w:val="none" w:sz="0" w:space="0" w:color="auto"/>
        <w:right w:val="none" w:sz="0" w:space="0" w:color="auto"/>
      </w:divBdr>
    </w:div>
    <w:div w:id="227545188">
      <w:bodyDiv w:val="1"/>
      <w:marLeft w:val="0"/>
      <w:marRight w:val="0"/>
      <w:marTop w:val="0"/>
      <w:marBottom w:val="0"/>
      <w:divBdr>
        <w:top w:val="none" w:sz="0" w:space="0" w:color="auto"/>
        <w:left w:val="none" w:sz="0" w:space="0" w:color="auto"/>
        <w:bottom w:val="none" w:sz="0" w:space="0" w:color="auto"/>
        <w:right w:val="none" w:sz="0" w:space="0" w:color="auto"/>
      </w:divBdr>
    </w:div>
    <w:div w:id="279146365">
      <w:bodyDiv w:val="1"/>
      <w:marLeft w:val="0"/>
      <w:marRight w:val="0"/>
      <w:marTop w:val="0"/>
      <w:marBottom w:val="0"/>
      <w:divBdr>
        <w:top w:val="none" w:sz="0" w:space="0" w:color="auto"/>
        <w:left w:val="none" w:sz="0" w:space="0" w:color="auto"/>
        <w:bottom w:val="none" w:sz="0" w:space="0" w:color="auto"/>
        <w:right w:val="none" w:sz="0" w:space="0" w:color="auto"/>
      </w:divBdr>
    </w:div>
    <w:div w:id="279536783">
      <w:bodyDiv w:val="1"/>
      <w:marLeft w:val="0"/>
      <w:marRight w:val="0"/>
      <w:marTop w:val="0"/>
      <w:marBottom w:val="0"/>
      <w:divBdr>
        <w:top w:val="none" w:sz="0" w:space="0" w:color="auto"/>
        <w:left w:val="none" w:sz="0" w:space="0" w:color="auto"/>
        <w:bottom w:val="none" w:sz="0" w:space="0" w:color="auto"/>
        <w:right w:val="none" w:sz="0" w:space="0" w:color="auto"/>
      </w:divBdr>
    </w:div>
    <w:div w:id="287592740">
      <w:bodyDiv w:val="1"/>
      <w:marLeft w:val="0"/>
      <w:marRight w:val="0"/>
      <w:marTop w:val="0"/>
      <w:marBottom w:val="0"/>
      <w:divBdr>
        <w:top w:val="none" w:sz="0" w:space="0" w:color="auto"/>
        <w:left w:val="none" w:sz="0" w:space="0" w:color="auto"/>
        <w:bottom w:val="none" w:sz="0" w:space="0" w:color="auto"/>
        <w:right w:val="none" w:sz="0" w:space="0" w:color="auto"/>
      </w:divBdr>
    </w:div>
    <w:div w:id="288516030">
      <w:bodyDiv w:val="1"/>
      <w:marLeft w:val="0"/>
      <w:marRight w:val="0"/>
      <w:marTop w:val="0"/>
      <w:marBottom w:val="0"/>
      <w:divBdr>
        <w:top w:val="none" w:sz="0" w:space="0" w:color="auto"/>
        <w:left w:val="none" w:sz="0" w:space="0" w:color="auto"/>
        <w:bottom w:val="none" w:sz="0" w:space="0" w:color="auto"/>
        <w:right w:val="none" w:sz="0" w:space="0" w:color="auto"/>
      </w:divBdr>
    </w:div>
    <w:div w:id="308756520">
      <w:bodyDiv w:val="1"/>
      <w:marLeft w:val="0"/>
      <w:marRight w:val="0"/>
      <w:marTop w:val="0"/>
      <w:marBottom w:val="0"/>
      <w:divBdr>
        <w:top w:val="none" w:sz="0" w:space="0" w:color="auto"/>
        <w:left w:val="none" w:sz="0" w:space="0" w:color="auto"/>
        <w:bottom w:val="none" w:sz="0" w:space="0" w:color="auto"/>
        <w:right w:val="none" w:sz="0" w:space="0" w:color="auto"/>
      </w:divBdr>
    </w:div>
    <w:div w:id="322053107">
      <w:bodyDiv w:val="1"/>
      <w:marLeft w:val="0"/>
      <w:marRight w:val="0"/>
      <w:marTop w:val="0"/>
      <w:marBottom w:val="0"/>
      <w:divBdr>
        <w:top w:val="none" w:sz="0" w:space="0" w:color="auto"/>
        <w:left w:val="none" w:sz="0" w:space="0" w:color="auto"/>
        <w:bottom w:val="none" w:sz="0" w:space="0" w:color="auto"/>
        <w:right w:val="none" w:sz="0" w:space="0" w:color="auto"/>
      </w:divBdr>
    </w:div>
    <w:div w:id="323822651">
      <w:bodyDiv w:val="1"/>
      <w:marLeft w:val="0"/>
      <w:marRight w:val="0"/>
      <w:marTop w:val="0"/>
      <w:marBottom w:val="0"/>
      <w:divBdr>
        <w:top w:val="none" w:sz="0" w:space="0" w:color="auto"/>
        <w:left w:val="none" w:sz="0" w:space="0" w:color="auto"/>
        <w:bottom w:val="none" w:sz="0" w:space="0" w:color="auto"/>
        <w:right w:val="none" w:sz="0" w:space="0" w:color="auto"/>
      </w:divBdr>
    </w:div>
    <w:div w:id="378093179">
      <w:bodyDiv w:val="1"/>
      <w:marLeft w:val="0"/>
      <w:marRight w:val="0"/>
      <w:marTop w:val="0"/>
      <w:marBottom w:val="0"/>
      <w:divBdr>
        <w:top w:val="none" w:sz="0" w:space="0" w:color="auto"/>
        <w:left w:val="none" w:sz="0" w:space="0" w:color="auto"/>
        <w:bottom w:val="none" w:sz="0" w:space="0" w:color="auto"/>
        <w:right w:val="none" w:sz="0" w:space="0" w:color="auto"/>
      </w:divBdr>
    </w:div>
    <w:div w:id="379670333">
      <w:bodyDiv w:val="1"/>
      <w:marLeft w:val="0"/>
      <w:marRight w:val="0"/>
      <w:marTop w:val="0"/>
      <w:marBottom w:val="0"/>
      <w:divBdr>
        <w:top w:val="none" w:sz="0" w:space="0" w:color="auto"/>
        <w:left w:val="none" w:sz="0" w:space="0" w:color="auto"/>
        <w:bottom w:val="none" w:sz="0" w:space="0" w:color="auto"/>
        <w:right w:val="none" w:sz="0" w:space="0" w:color="auto"/>
      </w:divBdr>
    </w:div>
    <w:div w:id="385683838">
      <w:bodyDiv w:val="1"/>
      <w:marLeft w:val="0"/>
      <w:marRight w:val="0"/>
      <w:marTop w:val="0"/>
      <w:marBottom w:val="0"/>
      <w:divBdr>
        <w:top w:val="none" w:sz="0" w:space="0" w:color="auto"/>
        <w:left w:val="none" w:sz="0" w:space="0" w:color="auto"/>
        <w:bottom w:val="none" w:sz="0" w:space="0" w:color="auto"/>
        <w:right w:val="none" w:sz="0" w:space="0" w:color="auto"/>
      </w:divBdr>
    </w:div>
    <w:div w:id="412165251">
      <w:bodyDiv w:val="1"/>
      <w:marLeft w:val="0"/>
      <w:marRight w:val="0"/>
      <w:marTop w:val="0"/>
      <w:marBottom w:val="0"/>
      <w:divBdr>
        <w:top w:val="none" w:sz="0" w:space="0" w:color="auto"/>
        <w:left w:val="none" w:sz="0" w:space="0" w:color="auto"/>
        <w:bottom w:val="none" w:sz="0" w:space="0" w:color="auto"/>
        <w:right w:val="none" w:sz="0" w:space="0" w:color="auto"/>
      </w:divBdr>
    </w:div>
    <w:div w:id="419134350">
      <w:bodyDiv w:val="1"/>
      <w:marLeft w:val="0"/>
      <w:marRight w:val="0"/>
      <w:marTop w:val="0"/>
      <w:marBottom w:val="0"/>
      <w:divBdr>
        <w:top w:val="none" w:sz="0" w:space="0" w:color="auto"/>
        <w:left w:val="none" w:sz="0" w:space="0" w:color="auto"/>
        <w:bottom w:val="none" w:sz="0" w:space="0" w:color="auto"/>
        <w:right w:val="none" w:sz="0" w:space="0" w:color="auto"/>
      </w:divBdr>
    </w:div>
    <w:div w:id="422995575">
      <w:bodyDiv w:val="1"/>
      <w:marLeft w:val="0"/>
      <w:marRight w:val="0"/>
      <w:marTop w:val="0"/>
      <w:marBottom w:val="0"/>
      <w:divBdr>
        <w:top w:val="none" w:sz="0" w:space="0" w:color="auto"/>
        <w:left w:val="none" w:sz="0" w:space="0" w:color="auto"/>
        <w:bottom w:val="none" w:sz="0" w:space="0" w:color="auto"/>
        <w:right w:val="none" w:sz="0" w:space="0" w:color="auto"/>
      </w:divBdr>
    </w:div>
    <w:div w:id="427583453">
      <w:bodyDiv w:val="1"/>
      <w:marLeft w:val="0"/>
      <w:marRight w:val="0"/>
      <w:marTop w:val="0"/>
      <w:marBottom w:val="0"/>
      <w:divBdr>
        <w:top w:val="none" w:sz="0" w:space="0" w:color="auto"/>
        <w:left w:val="none" w:sz="0" w:space="0" w:color="auto"/>
        <w:bottom w:val="none" w:sz="0" w:space="0" w:color="auto"/>
        <w:right w:val="none" w:sz="0" w:space="0" w:color="auto"/>
      </w:divBdr>
    </w:div>
    <w:div w:id="430858661">
      <w:bodyDiv w:val="1"/>
      <w:marLeft w:val="0"/>
      <w:marRight w:val="0"/>
      <w:marTop w:val="0"/>
      <w:marBottom w:val="0"/>
      <w:divBdr>
        <w:top w:val="none" w:sz="0" w:space="0" w:color="auto"/>
        <w:left w:val="none" w:sz="0" w:space="0" w:color="auto"/>
        <w:bottom w:val="none" w:sz="0" w:space="0" w:color="auto"/>
        <w:right w:val="none" w:sz="0" w:space="0" w:color="auto"/>
      </w:divBdr>
    </w:div>
    <w:div w:id="441848015">
      <w:bodyDiv w:val="1"/>
      <w:marLeft w:val="0"/>
      <w:marRight w:val="0"/>
      <w:marTop w:val="0"/>
      <w:marBottom w:val="0"/>
      <w:divBdr>
        <w:top w:val="none" w:sz="0" w:space="0" w:color="auto"/>
        <w:left w:val="none" w:sz="0" w:space="0" w:color="auto"/>
        <w:bottom w:val="none" w:sz="0" w:space="0" w:color="auto"/>
        <w:right w:val="none" w:sz="0" w:space="0" w:color="auto"/>
      </w:divBdr>
    </w:div>
    <w:div w:id="450519801">
      <w:bodyDiv w:val="1"/>
      <w:marLeft w:val="0"/>
      <w:marRight w:val="0"/>
      <w:marTop w:val="0"/>
      <w:marBottom w:val="0"/>
      <w:divBdr>
        <w:top w:val="none" w:sz="0" w:space="0" w:color="auto"/>
        <w:left w:val="none" w:sz="0" w:space="0" w:color="auto"/>
        <w:bottom w:val="none" w:sz="0" w:space="0" w:color="auto"/>
        <w:right w:val="none" w:sz="0" w:space="0" w:color="auto"/>
      </w:divBdr>
    </w:div>
    <w:div w:id="468480653">
      <w:bodyDiv w:val="1"/>
      <w:marLeft w:val="0"/>
      <w:marRight w:val="0"/>
      <w:marTop w:val="0"/>
      <w:marBottom w:val="0"/>
      <w:divBdr>
        <w:top w:val="none" w:sz="0" w:space="0" w:color="auto"/>
        <w:left w:val="none" w:sz="0" w:space="0" w:color="auto"/>
        <w:bottom w:val="none" w:sz="0" w:space="0" w:color="auto"/>
        <w:right w:val="none" w:sz="0" w:space="0" w:color="auto"/>
      </w:divBdr>
    </w:div>
    <w:div w:id="495269126">
      <w:bodyDiv w:val="1"/>
      <w:marLeft w:val="0"/>
      <w:marRight w:val="0"/>
      <w:marTop w:val="0"/>
      <w:marBottom w:val="0"/>
      <w:divBdr>
        <w:top w:val="none" w:sz="0" w:space="0" w:color="auto"/>
        <w:left w:val="none" w:sz="0" w:space="0" w:color="auto"/>
        <w:bottom w:val="none" w:sz="0" w:space="0" w:color="auto"/>
        <w:right w:val="none" w:sz="0" w:space="0" w:color="auto"/>
      </w:divBdr>
    </w:div>
    <w:div w:id="496269861">
      <w:bodyDiv w:val="1"/>
      <w:marLeft w:val="0"/>
      <w:marRight w:val="0"/>
      <w:marTop w:val="0"/>
      <w:marBottom w:val="0"/>
      <w:divBdr>
        <w:top w:val="none" w:sz="0" w:space="0" w:color="auto"/>
        <w:left w:val="none" w:sz="0" w:space="0" w:color="auto"/>
        <w:bottom w:val="none" w:sz="0" w:space="0" w:color="auto"/>
        <w:right w:val="none" w:sz="0" w:space="0" w:color="auto"/>
      </w:divBdr>
    </w:div>
    <w:div w:id="550269109">
      <w:bodyDiv w:val="1"/>
      <w:marLeft w:val="0"/>
      <w:marRight w:val="0"/>
      <w:marTop w:val="0"/>
      <w:marBottom w:val="0"/>
      <w:divBdr>
        <w:top w:val="none" w:sz="0" w:space="0" w:color="auto"/>
        <w:left w:val="none" w:sz="0" w:space="0" w:color="auto"/>
        <w:bottom w:val="none" w:sz="0" w:space="0" w:color="auto"/>
        <w:right w:val="none" w:sz="0" w:space="0" w:color="auto"/>
      </w:divBdr>
    </w:div>
    <w:div w:id="554656215">
      <w:bodyDiv w:val="1"/>
      <w:marLeft w:val="0"/>
      <w:marRight w:val="0"/>
      <w:marTop w:val="0"/>
      <w:marBottom w:val="0"/>
      <w:divBdr>
        <w:top w:val="none" w:sz="0" w:space="0" w:color="auto"/>
        <w:left w:val="none" w:sz="0" w:space="0" w:color="auto"/>
        <w:bottom w:val="none" w:sz="0" w:space="0" w:color="auto"/>
        <w:right w:val="none" w:sz="0" w:space="0" w:color="auto"/>
      </w:divBdr>
    </w:div>
    <w:div w:id="567886354">
      <w:bodyDiv w:val="1"/>
      <w:marLeft w:val="0"/>
      <w:marRight w:val="0"/>
      <w:marTop w:val="0"/>
      <w:marBottom w:val="0"/>
      <w:divBdr>
        <w:top w:val="none" w:sz="0" w:space="0" w:color="auto"/>
        <w:left w:val="none" w:sz="0" w:space="0" w:color="auto"/>
        <w:bottom w:val="none" w:sz="0" w:space="0" w:color="auto"/>
        <w:right w:val="none" w:sz="0" w:space="0" w:color="auto"/>
      </w:divBdr>
    </w:div>
    <w:div w:id="587888297">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642854595">
      <w:bodyDiv w:val="1"/>
      <w:marLeft w:val="0"/>
      <w:marRight w:val="0"/>
      <w:marTop w:val="0"/>
      <w:marBottom w:val="0"/>
      <w:divBdr>
        <w:top w:val="none" w:sz="0" w:space="0" w:color="auto"/>
        <w:left w:val="none" w:sz="0" w:space="0" w:color="auto"/>
        <w:bottom w:val="none" w:sz="0" w:space="0" w:color="auto"/>
        <w:right w:val="none" w:sz="0" w:space="0" w:color="auto"/>
      </w:divBdr>
    </w:div>
    <w:div w:id="673188541">
      <w:bodyDiv w:val="1"/>
      <w:marLeft w:val="0"/>
      <w:marRight w:val="0"/>
      <w:marTop w:val="0"/>
      <w:marBottom w:val="0"/>
      <w:divBdr>
        <w:top w:val="none" w:sz="0" w:space="0" w:color="auto"/>
        <w:left w:val="none" w:sz="0" w:space="0" w:color="auto"/>
        <w:bottom w:val="none" w:sz="0" w:space="0" w:color="auto"/>
        <w:right w:val="none" w:sz="0" w:space="0" w:color="auto"/>
      </w:divBdr>
    </w:div>
    <w:div w:id="787428231">
      <w:bodyDiv w:val="1"/>
      <w:marLeft w:val="0"/>
      <w:marRight w:val="0"/>
      <w:marTop w:val="0"/>
      <w:marBottom w:val="0"/>
      <w:divBdr>
        <w:top w:val="none" w:sz="0" w:space="0" w:color="auto"/>
        <w:left w:val="none" w:sz="0" w:space="0" w:color="auto"/>
        <w:bottom w:val="none" w:sz="0" w:space="0" w:color="auto"/>
        <w:right w:val="none" w:sz="0" w:space="0" w:color="auto"/>
      </w:divBdr>
    </w:div>
    <w:div w:id="803889394">
      <w:bodyDiv w:val="1"/>
      <w:marLeft w:val="0"/>
      <w:marRight w:val="0"/>
      <w:marTop w:val="0"/>
      <w:marBottom w:val="0"/>
      <w:divBdr>
        <w:top w:val="none" w:sz="0" w:space="0" w:color="auto"/>
        <w:left w:val="none" w:sz="0" w:space="0" w:color="auto"/>
        <w:bottom w:val="none" w:sz="0" w:space="0" w:color="auto"/>
        <w:right w:val="none" w:sz="0" w:space="0" w:color="auto"/>
      </w:divBdr>
    </w:div>
    <w:div w:id="809446723">
      <w:bodyDiv w:val="1"/>
      <w:marLeft w:val="0"/>
      <w:marRight w:val="0"/>
      <w:marTop w:val="0"/>
      <w:marBottom w:val="0"/>
      <w:divBdr>
        <w:top w:val="none" w:sz="0" w:space="0" w:color="auto"/>
        <w:left w:val="none" w:sz="0" w:space="0" w:color="auto"/>
        <w:bottom w:val="none" w:sz="0" w:space="0" w:color="auto"/>
        <w:right w:val="none" w:sz="0" w:space="0" w:color="auto"/>
      </w:divBdr>
    </w:div>
    <w:div w:id="814446151">
      <w:bodyDiv w:val="1"/>
      <w:marLeft w:val="0"/>
      <w:marRight w:val="0"/>
      <w:marTop w:val="0"/>
      <w:marBottom w:val="0"/>
      <w:divBdr>
        <w:top w:val="none" w:sz="0" w:space="0" w:color="auto"/>
        <w:left w:val="none" w:sz="0" w:space="0" w:color="auto"/>
        <w:bottom w:val="none" w:sz="0" w:space="0" w:color="auto"/>
        <w:right w:val="none" w:sz="0" w:space="0" w:color="auto"/>
      </w:divBdr>
    </w:div>
    <w:div w:id="892959191">
      <w:bodyDiv w:val="1"/>
      <w:marLeft w:val="0"/>
      <w:marRight w:val="0"/>
      <w:marTop w:val="0"/>
      <w:marBottom w:val="0"/>
      <w:divBdr>
        <w:top w:val="none" w:sz="0" w:space="0" w:color="auto"/>
        <w:left w:val="none" w:sz="0" w:space="0" w:color="auto"/>
        <w:bottom w:val="none" w:sz="0" w:space="0" w:color="auto"/>
        <w:right w:val="none" w:sz="0" w:space="0" w:color="auto"/>
      </w:divBdr>
    </w:div>
    <w:div w:id="894897261">
      <w:bodyDiv w:val="1"/>
      <w:marLeft w:val="0"/>
      <w:marRight w:val="0"/>
      <w:marTop w:val="0"/>
      <w:marBottom w:val="0"/>
      <w:divBdr>
        <w:top w:val="none" w:sz="0" w:space="0" w:color="auto"/>
        <w:left w:val="none" w:sz="0" w:space="0" w:color="auto"/>
        <w:bottom w:val="none" w:sz="0" w:space="0" w:color="auto"/>
        <w:right w:val="none" w:sz="0" w:space="0" w:color="auto"/>
      </w:divBdr>
    </w:div>
    <w:div w:id="903107484">
      <w:bodyDiv w:val="1"/>
      <w:marLeft w:val="0"/>
      <w:marRight w:val="0"/>
      <w:marTop w:val="0"/>
      <w:marBottom w:val="0"/>
      <w:divBdr>
        <w:top w:val="none" w:sz="0" w:space="0" w:color="auto"/>
        <w:left w:val="none" w:sz="0" w:space="0" w:color="auto"/>
        <w:bottom w:val="none" w:sz="0" w:space="0" w:color="auto"/>
        <w:right w:val="none" w:sz="0" w:space="0" w:color="auto"/>
      </w:divBdr>
    </w:div>
    <w:div w:id="908730432">
      <w:bodyDiv w:val="1"/>
      <w:marLeft w:val="0"/>
      <w:marRight w:val="0"/>
      <w:marTop w:val="0"/>
      <w:marBottom w:val="0"/>
      <w:divBdr>
        <w:top w:val="none" w:sz="0" w:space="0" w:color="auto"/>
        <w:left w:val="none" w:sz="0" w:space="0" w:color="auto"/>
        <w:bottom w:val="none" w:sz="0" w:space="0" w:color="auto"/>
        <w:right w:val="none" w:sz="0" w:space="0" w:color="auto"/>
      </w:divBdr>
    </w:div>
    <w:div w:id="916356462">
      <w:bodyDiv w:val="1"/>
      <w:marLeft w:val="0"/>
      <w:marRight w:val="0"/>
      <w:marTop w:val="0"/>
      <w:marBottom w:val="0"/>
      <w:divBdr>
        <w:top w:val="none" w:sz="0" w:space="0" w:color="auto"/>
        <w:left w:val="none" w:sz="0" w:space="0" w:color="auto"/>
        <w:bottom w:val="none" w:sz="0" w:space="0" w:color="auto"/>
        <w:right w:val="none" w:sz="0" w:space="0" w:color="auto"/>
      </w:divBdr>
    </w:div>
    <w:div w:id="918292690">
      <w:bodyDiv w:val="1"/>
      <w:marLeft w:val="0"/>
      <w:marRight w:val="0"/>
      <w:marTop w:val="0"/>
      <w:marBottom w:val="0"/>
      <w:divBdr>
        <w:top w:val="none" w:sz="0" w:space="0" w:color="auto"/>
        <w:left w:val="none" w:sz="0" w:space="0" w:color="auto"/>
        <w:bottom w:val="none" w:sz="0" w:space="0" w:color="auto"/>
        <w:right w:val="none" w:sz="0" w:space="0" w:color="auto"/>
      </w:divBdr>
    </w:div>
    <w:div w:id="918363780">
      <w:bodyDiv w:val="1"/>
      <w:marLeft w:val="0"/>
      <w:marRight w:val="0"/>
      <w:marTop w:val="0"/>
      <w:marBottom w:val="0"/>
      <w:divBdr>
        <w:top w:val="none" w:sz="0" w:space="0" w:color="auto"/>
        <w:left w:val="none" w:sz="0" w:space="0" w:color="auto"/>
        <w:bottom w:val="none" w:sz="0" w:space="0" w:color="auto"/>
        <w:right w:val="none" w:sz="0" w:space="0" w:color="auto"/>
      </w:divBdr>
    </w:div>
    <w:div w:id="933516221">
      <w:bodyDiv w:val="1"/>
      <w:marLeft w:val="0"/>
      <w:marRight w:val="0"/>
      <w:marTop w:val="0"/>
      <w:marBottom w:val="0"/>
      <w:divBdr>
        <w:top w:val="none" w:sz="0" w:space="0" w:color="auto"/>
        <w:left w:val="none" w:sz="0" w:space="0" w:color="auto"/>
        <w:bottom w:val="none" w:sz="0" w:space="0" w:color="auto"/>
        <w:right w:val="none" w:sz="0" w:space="0" w:color="auto"/>
      </w:divBdr>
    </w:div>
    <w:div w:id="949167017">
      <w:bodyDiv w:val="1"/>
      <w:marLeft w:val="0"/>
      <w:marRight w:val="0"/>
      <w:marTop w:val="0"/>
      <w:marBottom w:val="0"/>
      <w:divBdr>
        <w:top w:val="none" w:sz="0" w:space="0" w:color="auto"/>
        <w:left w:val="none" w:sz="0" w:space="0" w:color="auto"/>
        <w:bottom w:val="none" w:sz="0" w:space="0" w:color="auto"/>
        <w:right w:val="none" w:sz="0" w:space="0" w:color="auto"/>
      </w:divBdr>
    </w:div>
    <w:div w:id="956958032">
      <w:bodyDiv w:val="1"/>
      <w:marLeft w:val="0"/>
      <w:marRight w:val="0"/>
      <w:marTop w:val="0"/>
      <w:marBottom w:val="0"/>
      <w:divBdr>
        <w:top w:val="none" w:sz="0" w:space="0" w:color="auto"/>
        <w:left w:val="none" w:sz="0" w:space="0" w:color="auto"/>
        <w:bottom w:val="none" w:sz="0" w:space="0" w:color="auto"/>
        <w:right w:val="none" w:sz="0" w:space="0" w:color="auto"/>
      </w:divBdr>
    </w:div>
    <w:div w:id="1008287625">
      <w:bodyDiv w:val="1"/>
      <w:marLeft w:val="0"/>
      <w:marRight w:val="0"/>
      <w:marTop w:val="0"/>
      <w:marBottom w:val="0"/>
      <w:divBdr>
        <w:top w:val="none" w:sz="0" w:space="0" w:color="auto"/>
        <w:left w:val="none" w:sz="0" w:space="0" w:color="auto"/>
        <w:bottom w:val="none" w:sz="0" w:space="0" w:color="auto"/>
        <w:right w:val="none" w:sz="0" w:space="0" w:color="auto"/>
      </w:divBdr>
    </w:div>
    <w:div w:id="1086145909">
      <w:bodyDiv w:val="1"/>
      <w:marLeft w:val="0"/>
      <w:marRight w:val="0"/>
      <w:marTop w:val="0"/>
      <w:marBottom w:val="0"/>
      <w:divBdr>
        <w:top w:val="none" w:sz="0" w:space="0" w:color="auto"/>
        <w:left w:val="none" w:sz="0" w:space="0" w:color="auto"/>
        <w:bottom w:val="none" w:sz="0" w:space="0" w:color="auto"/>
        <w:right w:val="none" w:sz="0" w:space="0" w:color="auto"/>
      </w:divBdr>
    </w:div>
    <w:div w:id="1104182517">
      <w:bodyDiv w:val="1"/>
      <w:marLeft w:val="0"/>
      <w:marRight w:val="0"/>
      <w:marTop w:val="0"/>
      <w:marBottom w:val="0"/>
      <w:divBdr>
        <w:top w:val="none" w:sz="0" w:space="0" w:color="auto"/>
        <w:left w:val="none" w:sz="0" w:space="0" w:color="auto"/>
        <w:bottom w:val="none" w:sz="0" w:space="0" w:color="auto"/>
        <w:right w:val="none" w:sz="0" w:space="0" w:color="auto"/>
      </w:divBdr>
    </w:div>
    <w:div w:id="1144079979">
      <w:bodyDiv w:val="1"/>
      <w:marLeft w:val="0"/>
      <w:marRight w:val="0"/>
      <w:marTop w:val="0"/>
      <w:marBottom w:val="0"/>
      <w:divBdr>
        <w:top w:val="none" w:sz="0" w:space="0" w:color="auto"/>
        <w:left w:val="none" w:sz="0" w:space="0" w:color="auto"/>
        <w:bottom w:val="none" w:sz="0" w:space="0" w:color="auto"/>
        <w:right w:val="none" w:sz="0" w:space="0" w:color="auto"/>
      </w:divBdr>
    </w:div>
    <w:div w:id="1195145555">
      <w:bodyDiv w:val="1"/>
      <w:marLeft w:val="0"/>
      <w:marRight w:val="0"/>
      <w:marTop w:val="0"/>
      <w:marBottom w:val="0"/>
      <w:divBdr>
        <w:top w:val="none" w:sz="0" w:space="0" w:color="auto"/>
        <w:left w:val="none" w:sz="0" w:space="0" w:color="auto"/>
        <w:bottom w:val="none" w:sz="0" w:space="0" w:color="auto"/>
        <w:right w:val="none" w:sz="0" w:space="0" w:color="auto"/>
      </w:divBdr>
    </w:div>
    <w:div w:id="1206135633">
      <w:bodyDiv w:val="1"/>
      <w:marLeft w:val="0"/>
      <w:marRight w:val="0"/>
      <w:marTop w:val="0"/>
      <w:marBottom w:val="0"/>
      <w:divBdr>
        <w:top w:val="none" w:sz="0" w:space="0" w:color="auto"/>
        <w:left w:val="none" w:sz="0" w:space="0" w:color="auto"/>
        <w:bottom w:val="none" w:sz="0" w:space="0" w:color="auto"/>
        <w:right w:val="none" w:sz="0" w:space="0" w:color="auto"/>
      </w:divBdr>
    </w:div>
    <w:div w:id="1223247629">
      <w:bodyDiv w:val="1"/>
      <w:marLeft w:val="0"/>
      <w:marRight w:val="0"/>
      <w:marTop w:val="0"/>
      <w:marBottom w:val="0"/>
      <w:divBdr>
        <w:top w:val="none" w:sz="0" w:space="0" w:color="auto"/>
        <w:left w:val="none" w:sz="0" w:space="0" w:color="auto"/>
        <w:bottom w:val="none" w:sz="0" w:space="0" w:color="auto"/>
        <w:right w:val="none" w:sz="0" w:space="0" w:color="auto"/>
      </w:divBdr>
    </w:div>
    <w:div w:id="1269393844">
      <w:bodyDiv w:val="1"/>
      <w:marLeft w:val="0"/>
      <w:marRight w:val="0"/>
      <w:marTop w:val="0"/>
      <w:marBottom w:val="0"/>
      <w:divBdr>
        <w:top w:val="none" w:sz="0" w:space="0" w:color="auto"/>
        <w:left w:val="none" w:sz="0" w:space="0" w:color="auto"/>
        <w:bottom w:val="none" w:sz="0" w:space="0" w:color="auto"/>
        <w:right w:val="none" w:sz="0" w:space="0" w:color="auto"/>
      </w:divBdr>
    </w:div>
    <w:div w:id="1282952859">
      <w:bodyDiv w:val="1"/>
      <w:marLeft w:val="0"/>
      <w:marRight w:val="0"/>
      <w:marTop w:val="0"/>
      <w:marBottom w:val="0"/>
      <w:divBdr>
        <w:top w:val="none" w:sz="0" w:space="0" w:color="auto"/>
        <w:left w:val="none" w:sz="0" w:space="0" w:color="auto"/>
        <w:bottom w:val="none" w:sz="0" w:space="0" w:color="auto"/>
        <w:right w:val="none" w:sz="0" w:space="0" w:color="auto"/>
      </w:divBdr>
    </w:div>
    <w:div w:id="1304314573">
      <w:bodyDiv w:val="1"/>
      <w:marLeft w:val="0"/>
      <w:marRight w:val="0"/>
      <w:marTop w:val="0"/>
      <w:marBottom w:val="0"/>
      <w:divBdr>
        <w:top w:val="none" w:sz="0" w:space="0" w:color="auto"/>
        <w:left w:val="none" w:sz="0" w:space="0" w:color="auto"/>
        <w:bottom w:val="none" w:sz="0" w:space="0" w:color="auto"/>
        <w:right w:val="none" w:sz="0" w:space="0" w:color="auto"/>
      </w:divBdr>
    </w:div>
    <w:div w:id="1326862314">
      <w:bodyDiv w:val="1"/>
      <w:marLeft w:val="0"/>
      <w:marRight w:val="0"/>
      <w:marTop w:val="0"/>
      <w:marBottom w:val="0"/>
      <w:divBdr>
        <w:top w:val="none" w:sz="0" w:space="0" w:color="auto"/>
        <w:left w:val="none" w:sz="0" w:space="0" w:color="auto"/>
        <w:bottom w:val="none" w:sz="0" w:space="0" w:color="auto"/>
        <w:right w:val="none" w:sz="0" w:space="0" w:color="auto"/>
      </w:divBdr>
    </w:div>
    <w:div w:id="1359038382">
      <w:bodyDiv w:val="1"/>
      <w:marLeft w:val="0"/>
      <w:marRight w:val="0"/>
      <w:marTop w:val="0"/>
      <w:marBottom w:val="0"/>
      <w:divBdr>
        <w:top w:val="none" w:sz="0" w:space="0" w:color="auto"/>
        <w:left w:val="none" w:sz="0" w:space="0" w:color="auto"/>
        <w:bottom w:val="none" w:sz="0" w:space="0" w:color="auto"/>
        <w:right w:val="none" w:sz="0" w:space="0" w:color="auto"/>
      </w:divBdr>
    </w:div>
    <w:div w:id="1378776312">
      <w:bodyDiv w:val="1"/>
      <w:marLeft w:val="0"/>
      <w:marRight w:val="0"/>
      <w:marTop w:val="0"/>
      <w:marBottom w:val="0"/>
      <w:divBdr>
        <w:top w:val="none" w:sz="0" w:space="0" w:color="auto"/>
        <w:left w:val="none" w:sz="0" w:space="0" w:color="auto"/>
        <w:bottom w:val="none" w:sz="0" w:space="0" w:color="auto"/>
        <w:right w:val="none" w:sz="0" w:space="0" w:color="auto"/>
      </w:divBdr>
    </w:div>
    <w:div w:id="1381057069">
      <w:bodyDiv w:val="1"/>
      <w:marLeft w:val="0"/>
      <w:marRight w:val="0"/>
      <w:marTop w:val="0"/>
      <w:marBottom w:val="0"/>
      <w:divBdr>
        <w:top w:val="none" w:sz="0" w:space="0" w:color="auto"/>
        <w:left w:val="none" w:sz="0" w:space="0" w:color="auto"/>
        <w:bottom w:val="none" w:sz="0" w:space="0" w:color="auto"/>
        <w:right w:val="none" w:sz="0" w:space="0" w:color="auto"/>
      </w:divBdr>
    </w:div>
    <w:div w:id="1437288183">
      <w:bodyDiv w:val="1"/>
      <w:marLeft w:val="0"/>
      <w:marRight w:val="0"/>
      <w:marTop w:val="0"/>
      <w:marBottom w:val="0"/>
      <w:divBdr>
        <w:top w:val="none" w:sz="0" w:space="0" w:color="auto"/>
        <w:left w:val="none" w:sz="0" w:space="0" w:color="auto"/>
        <w:bottom w:val="none" w:sz="0" w:space="0" w:color="auto"/>
        <w:right w:val="none" w:sz="0" w:space="0" w:color="auto"/>
      </w:divBdr>
    </w:div>
    <w:div w:id="1439175017">
      <w:bodyDiv w:val="1"/>
      <w:marLeft w:val="0"/>
      <w:marRight w:val="0"/>
      <w:marTop w:val="0"/>
      <w:marBottom w:val="0"/>
      <w:divBdr>
        <w:top w:val="none" w:sz="0" w:space="0" w:color="auto"/>
        <w:left w:val="none" w:sz="0" w:space="0" w:color="auto"/>
        <w:bottom w:val="none" w:sz="0" w:space="0" w:color="auto"/>
        <w:right w:val="none" w:sz="0" w:space="0" w:color="auto"/>
      </w:divBdr>
    </w:div>
    <w:div w:id="1453549444">
      <w:bodyDiv w:val="1"/>
      <w:marLeft w:val="0"/>
      <w:marRight w:val="0"/>
      <w:marTop w:val="0"/>
      <w:marBottom w:val="0"/>
      <w:divBdr>
        <w:top w:val="none" w:sz="0" w:space="0" w:color="auto"/>
        <w:left w:val="none" w:sz="0" w:space="0" w:color="auto"/>
        <w:bottom w:val="none" w:sz="0" w:space="0" w:color="auto"/>
        <w:right w:val="none" w:sz="0" w:space="0" w:color="auto"/>
      </w:divBdr>
    </w:div>
    <w:div w:id="1476222304">
      <w:bodyDiv w:val="1"/>
      <w:marLeft w:val="0"/>
      <w:marRight w:val="0"/>
      <w:marTop w:val="0"/>
      <w:marBottom w:val="0"/>
      <w:divBdr>
        <w:top w:val="none" w:sz="0" w:space="0" w:color="auto"/>
        <w:left w:val="none" w:sz="0" w:space="0" w:color="auto"/>
        <w:bottom w:val="none" w:sz="0" w:space="0" w:color="auto"/>
        <w:right w:val="none" w:sz="0" w:space="0" w:color="auto"/>
      </w:divBdr>
    </w:div>
    <w:div w:id="1512799590">
      <w:bodyDiv w:val="1"/>
      <w:marLeft w:val="0"/>
      <w:marRight w:val="0"/>
      <w:marTop w:val="0"/>
      <w:marBottom w:val="0"/>
      <w:divBdr>
        <w:top w:val="none" w:sz="0" w:space="0" w:color="auto"/>
        <w:left w:val="none" w:sz="0" w:space="0" w:color="auto"/>
        <w:bottom w:val="none" w:sz="0" w:space="0" w:color="auto"/>
        <w:right w:val="none" w:sz="0" w:space="0" w:color="auto"/>
      </w:divBdr>
    </w:div>
    <w:div w:id="1517160459">
      <w:bodyDiv w:val="1"/>
      <w:marLeft w:val="0"/>
      <w:marRight w:val="0"/>
      <w:marTop w:val="0"/>
      <w:marBottom w:val="0"/>
      <w:divBdr>
        <w:top w:val="none" w:sz="0" w:space="0" w:color="auto"/>
        <w:left w:val="none" w:sz="0" w:space="0" w:color="auto"/>
        <w:bottom w:val="none" w:sz="0" w:space="0" w:color="auto"/>
        <w:right w:val="none" w:sz="0" w:space="0" w:color="auto"/>
      </w:divBdr>
    </w:div>
    <w:div w:id="1541238577">
      <w:bodyDiv w:val="1"/>
      <w:marLeft w:val="0"/>
      <w:marRight w:val="0"/>
      <w:marTop w:val="0"/>
      <w:marBottom w:val="0"/>
      <w:divBdr>
        <w:top w:val="none" w:sz="0" w:space="0" w:color="auto"/>
        <w:left w:val="none" w:sz="0" w:space="0" w:color="auto"/>
        <w:bottom w:val="none" w:sz="0" w:space="0" w:color="auto"/>
        <w:right w:val="none" w:sz="0" w:space="0" w:color="auto"/>
      </w:divBdr>
    </w:div>
    <w:div w:id="1584875696">
      <w:bodyDiv w:val="1"/>
      <w:marLeft w:val="0"/>
      <w:marRight w:val="0"/>
      <w:marTop w:val="0"/>
      <w:marBottom w:val="0"/>
      <w:divBdr>
        <w:top w:val="none" w:sz="0" w:space="0" w:color="auto"/>
        <w:left w:val="none" w:sz="0" w:space="0" w:color="auto"/>
        <w:bottom w:val="none" w:sz="0" w:space="0" w:color="auto"/>
        <w:right w:val="none" w:sz="0" w:space="0" w:color="auto"/>
      </w:divBdr>
    </w:div>
    <w:div w:id="1593736998">
      <w:bodyDiv w:val="1"/>
      <w:marLeft w:val="0"/>
      <w:marRight w:val="0"/>
      <w:marTop w:val="0"/>
      <w:marBottom w:val="0"/>
      <w:divBdr>
        <w:top w:val="none" w:sz="0" w:space="0" w:color="auto"/>
        <w:left w:val="none" w:sz="0" w:space="0" w:color="auto"/>
        <w:bottom w:val="none" w:sz="0" w:space="0" w:color="auto"/>
        <w:right w:val="none" w:sz="0" w:space="0" w:color="auto"/>
      </w:divBdr>
    </w:div>
    <w:div w:id="1595824871">
      <w:bodyDiv w:val="1"/>
      <w:marLeft w:val="0"/>
      <w:marRight w:val="0"/>
      <w:marTop w:val="0"/>
      <w:marBottom w:val="0"/>
      <w:divBdr>
        <w:top w:val="none" w:sz="0" w:space="0" w:color="auto"/>
        <w:left w:val="none" w:sz="0" w:space="0" w:color="auto"/>
        <w:bottom w:val="none" w:sz="0" w:space="0" w:color="auto"/>
        <w:right w:val="none" w:sz="0" w:space="0" w:color="auto"/>
      </w:divBdr>
    </w:div>
    <w:div w:id="1628776973">
      <w:bodyDiv w:val="1"/>
      <w:marLeft w:val="0"/>
      <w:marRight w:val="0"/>
      <w:marTop w:val="0"/>
      <w:marBottom w:val="0"/>
      <w:divBdr>
        <w:top w:val="none" w:sz="0" w:space="0" w:color="auto"/>
        <w:left w:val="none" w:sz="0" w:space="0" w:color="auto"/>
        <w:bottom w:val="none" w:sz="0" w:space="0" w:color="auto"/>
        <w:right w:val="none" w:sz="0" w:space="0" w:color="auto"/>
      </w:divBdr>
    </w:div>
    <w:div w:id="1679504749">
      <w:bodyDiv w:val="1"/>
      <w:marLeft w:val="0"/>
      <w:marRight w:val="0"/>
      <w:marTop w:val="0"/>
      <w:marBottom w:val="0"/>
      <w:divBdr>
        <w:top w:val="none" w:sz="0" w:space="0" w:color="auto"/>
        <w:left w:val="none" w:sz="0" w:space="0" w:color="auto"/>
        <w:bottom w:val="none" w:sz="0" w:space="0" w:color="auto"/>
        <w:right w:val="none" w:sz="0" w:space="0" w:color="auto"/>
      </w:divBdr>
    </w:div>
    <w:div w:id="1699233765">
      <w:bodyDiv w:val="1"/>
      <w:marLeft w:val="0"/>
      <w:marRight w:val="0"/>
      <w:marTop w:val="0"/>
      <w:marBottom w:val="0"/>
      <w:divBdr>
        <w:top w:val="none" w:sz="0" w:space="0" w:color="auto"/>
        <w:left w:val="none" w:sz="0" w:space="0" w:color="auto"/>
        <w:bottom w:val="none" w:sz="0" w:space="0" w:color="auto"/>
        <w:right w:val="none" w:sz="0" w:space="0" w:color="auto"/>
      </w:divBdr>
    </w:div>
    <w:div w:id="1772629730">
      <w:bodyDiv w:val="1"/>
      <w:marLeft w:val="0"/>
      <w:marRight w:val="0"/>
      <w:marTop w:val="0"/>
      <w:marBottom w:val="0"/>
      <w:divBdr>
        <w:top w:val="none" w:sz="0" w:space="0" w:color="auto"/>
        <w:left w:val="none" w:sz="0" w:space="0" w:color="auto"/>
        <w:bottom w:val="none" w:sz="0" w:space="0" w:color="auto"/>
        <w:right w:val="none" w:sz="0" w:space="0" w:color="auto"/>
      </w:divBdr>
    </w:div>
    <w:div w:id="1801024325">
      <w:bodyDiv w:val="1"/>
      <w:marLeft w:val="0"/>
      <w:marRight w:val="0"/>
      <w:marTop w:val="0"/>
      <w:marBottom w:val="0"/>
      <w:divBdr>
        <w:top w:val="none" w:sz="0" w:space="0" w:color="auto"/>
        <w:left w:val="none" w:sz="0" w:space="0" w:color="auto"/>
        <w:bottom w:val="none" w:sz="0" w:space="0" w:color="auto"/>
        <w:right w:val="none" w:sz="0" w:space="0" w:color="auto"/>
      </w:divBdr>
    </w:div>
    <w:div w:id="1801192684">
      <w:bodyDiv w:val="1"/>
      <w:marLeft w:val="0"/>
      <w:marRight w:val="0"/>
      <w:marTop w:val="0"/>
      <w:marBottom w:val="0"/>
      <w:divBdr>
        <w:top w:val="none" w:sz="0" w:space="0" w:color="auto"/>
        <w:left w:val="none" w:sz="0" w:space="0" w:color="auto"/>
        <w:bottom w:val="none" w:sz="0" w:space="0" w:color="auto"/>
        <w:right w:val="none" w:sz="0" w:space="0" w:color="auto"/>
      </w:divBdr>
    </w:div>
    <w:div w:id="1839349446">
      <w:bodyDiv w:val="1"/>
      <w:marLeft w:val="0"/>
      <w:marRight w:val="0"/>
      <w:marTop w:val="0"/>
      <w:marBottom w:val="0"/>
      <w:divBdr>
        <w:top w:val="none" w:sz="0" w:space="0" w:color="auto"/>
        <w:left w:val="none" w:sz="0" w:space="0" w:color="auto"/>
        <w:bottom w:val="none" w:sz="0" w:space="0" w:color="auto"/>
        <w:right w:val="none" w:sz="0" w:space="0" w:color="auto"/>
      </w:divBdr>
    </w:div>
    <w:div w:id="1906377115">
      <w:bodyDiv w:val="1"/>
      <w:marLeft w:val="0"/>
      <w:marRight w:val="0"/>
      <w:marTop w:val="0"/>
      <w:marBottom w:val="0"/>
      <w:divBdr>
        <w:top w:val="none" w:sz="0" w:space="0" w:color="auto"/>
        <w:left w:val="none" w:sz="0" w:space="0" w:color="auto"/>
        <w:bottom w:val="none" w:sz="0" w:space="0" w:color="auto"/>
        <w:right w:val="none" w:sz="0" w:space="0" w:color="auto"/>
      </w:divBdr>
    </w:div>
    <w:div w:id="1908763494">
      <w:bodyDiv w:val="1"/>
      <w:marLeft w:val="0"/>
      <w:marRight w:val="0"/>
      <w:marTop w:val="0"/>
      <w:marBottom w:val="0"/>
      <w:divBdr>
        <w:top w:val="none" w:sz="0" w:space="0" w:color="auto"/>
        <w:left w:val="none" w:sz="0" w:space="0" w:color="auto"/>
        <w:bottom w:val="none" w:sz="0" w:space="0" w:color="auto"/>
        <w:right w:val="none" w:sz="0" w:space="0" w:color="auto"/>
      </w:divBdr>
    </w:div>
    <w:div w:id="1938632437">
      <w:bodyDiv w:val="1"/>
      <w:marLeft w:val="0"/>
      <w:marRight w:val="0"/>
      <w:marTop w:val="0"/>
      <w:marBottom w:val="0"/>
      <w:divBdr>
        <w:top w:val="none" w:sz="0" w:space="0" w:color="auto"/>
        <w:left w:val="none" w:sz="0" w:space="0" w:color="auto"/>
        <w:bottom w:val="none" w:sz="0" w:space="0" w:color="auto"/>
        <w:right w:val="none" w:sz="0" w:space="0" w:color="auto"/>
      </w:divBdr>
    </w:div>
    <w:div w:id="1967540981">
      <w:bodyDiv w:val="1"/>
      <w:marLeft w:val="0"/>
      <w:marRight w:val="0"/>
      <w:marTop w:val="0"/>
      <w:marBottom w:val="0"/>
      <w:divBdr>
        <w:top w:val="none" w:sz="0" w:space="0" w:color="auto"/>
        <w:left w:val="none" w:sz="0" w:space="0" w:color="auto"/>
        <w:bottom w:val="none" w:sz="0" w:space="0" w:color="auto"/>
        <w:right w:val="none" w:sz="0" w:space="0" w:color="auto"/>
      </w:divBdr>
    </w:div>
    <w:div w:id="1977834565">
      <w:bodyDiv w:val="1"/>
      <w:marLeft w:val="0"/>
      <w:marRight w:val="0"/>
      <w:marTop w:val="0"/>
      <w:marBottom w:val="0"/>
      <w:divBdr>
        <w:top w:val="none" w:sz="0" w:space="0" w:color="auto"/>
        <w:left w:val="none" w:sz="0" w:space="0" w:color="auto"/>
        <w:bottom w:val="none" w:sz="0" w:space="0" w:color="auto"/>
        <w:right w:val="none" w:sz="0" w:space="0" w:color="auto"/>
      </w:divBdr>
    </w:div>
    <w:div w:id="2033677512">
      <w:bodyDiv w:val="1"/>
      <w:marLeft w:val="0"/>
      <w:marRight w:val="0"/>
      <w:marTop w:val="0"/>
      <w:marBottom w:val="0"/>
      <w:divBdr>
        <w:top w:val="none" w:sz="0" w:space="0" w:color="auto"/>
        <w:left w:val="none" w:sz="0" w:space="0" w:color="auto"/>
        <w:bottom w:val="none" w:sz="0" w:space="0" w:color="auto"/>
        <w:right w:val="none" w:sz="0" w:space="0" w:color="auto"/>
      </w:divBdr>
    </w:div>
    <w:div w:id="2039237339">
      <w:bodyDiv w:val="1"/>
      <w:marLeft w:val="0"/>
      <w:marRight w:val="0"/>
      <w:marTop w:val="0"/>
      <w:marBottom w:val="0"/>
      <w:divBdr>
        <w:top w:val="none" w:sz="0" w:space="0" w:color="auto"/>
        <w:left w:val="none" w:sz="0" w:space="0" w:color="auto"/>
        <w:bottom w:val="none" w:sz="0" w:space="0" w:color="auto"/>
        <w:right w:val="none" w:sz="0" w:space="0" w:color="auto"/>
      </w:divBdr>
    </w:div>
    <w:div w:id="2043357775">
      <w:bodyDiv w:val="1"/>
      <w:marLeft w:val="0"/>
      <w:marRight w:val="0"/>
      <w:marTop w:val="0"/>
      <w:marBottom w:val="0"/>
      <w:divBdr>
        <w:top w:val="none" w:sz="0" w:space="0" w:color="auto"/>
        <w:left w:val="none" w:sz="0" w:space="0" w:color="auto"/>
        <w:bottom w:val="none" w:sz="0" w:space="0" w:color="auto"/>
        <w:right w:val="none" w:sz="0" w:space="0" w:color="auto"/>
      </w:divBdr>
    </w:div>
    <w:div w:id="2044094816">
      <w:bodyDiv w:val="1"/>
      <w:marLeft w:val="0"/>
      <w:marRight w:val="0"/>
      <w:marTop w:val="0"/>
      <w:marBottom w:val="0"/>
      <w:divBdr>
        <w:top w:val="none" w:sz="0" w:space="0" w:color="auto"/>
        <w:left w:val="none" w:sz="0" w:space="0" w:color="auto"/>
        <w:bottom w:val="none" w:sz="0" w:space="0" w:color="auto"/>
        <w:right w:val="none" w:sz="0" w:space="0" w:color="auto"/>
      </w:divBdr>
    </w:div>
    <w:div w:id="2046362950">
      <w:bodyDiv w:val="1"/>
      <w:marLeft w:val="0"/>
      <w:marRight w:val="0"/>
      <w:marTop w:val="0"/>
      <w:marBottom w:val="0"/>
      <w:divBdr>
        <w:top w:val="none" w:sz="0" w:space="0" w:color="auto"/>
        <w:left w:val="none" w:sz="0" w:space="0" w:color="auto"/>
        <w:bottom w:val="none" w:sz="0" w:space="0" w:color="auto"/>
        <w:right w:val="none" w:sz="0" w:space="0" w:color="auto"/>
      </w:divBdr>
    </w:div>
    <w:div w:id="2054504042">
      <w:bodyDiv w:val="1"/>
      <w:marLeft w:val="0"/>
      <w:marRight w:val="0"/>
      <w:marTop w:val="0"/>
      <w:marBottom w:val="0"/>
      <w:divBdr>
        <w:top w:val="none" w:sz="0" w:space="0" w:color="auto"/>
        <w:left w:val="none" w:sz="0" w:space="0" w:color="auto"/>
        <w:bottom w:val="none" w:sz="0" w:space="0" w:color="auto"/>
        <w:right w:val="none" w:sz="0" w:space="0" w:color="auto"/>
      </w:divBdr>
    </w:div>
    <w:div w:id="2116898428">
      <w:bodyDiv w:val="1"/>
      <w:marLeft w:val="0"/>
      <w:marRight w:val="0"/>
      <w:marTop w:val="0"/>
      <w:marBottom w:val="0"/>
      <w:divBdr>
        <w:top w:val="none" w:sz="0" w:space="0" w:color="auto"/>
        <w:left w:val="none" w:sz="0" w:space="0" w:color="auto"/>
        <w:bottom w:val="none" w:sz="0" w:space="0" w:color="auto"/>
        <w:right w:val="none" w:sz="0" w:space="0" w:color="auto"/>
      </w:divBdr>
    </w:div>
    <w:div w:id="2124300377">
      <w:bodyDiv w:val="1"/>
      <w:marLeft w:val="0"/>
      <w:marRight w:val="0"/>
      <w:marTop w:val="0"/>
      <w:marBottom w:val="0"/>
      <w:divBdr>
        <w:top w:val="none" w:sz="0" w:space="0" w:color="auto"/>
        <w:left w:val="none" w:sz="0" w:space="0" w:color="auto"/>
        <w:bottom w:val="none" w:sz="0" w:space="0" w:color="auto"/>
        <w:right w:val="none" w:sz="0" w:space="0" w:color="auto"/>
      </w:divBdr>
    </w:div>
    <w:div w:id="2124953681">
      <w:bodyDiv w:val="1"/>
      <w:marLeft w:val="0"/>
      <w:marRight w:val="0"/>
      <w:marTop w:val="0"/>
      <w:marBottom w:val="0"/>
      <w:divBdr>
        <w:top w:val="none" w:sz="0" w:space="0" w:color="auto"/>
        <w:left w:val="none" w:sz="0" w:space="0" w:color="auto"/>
        <w:bottom w:val="none" w:sz="0" w:space="0" w:color="auto"/>
        <w:right w:val="none" w:sz="0" w:space="0" w:color="auto"/>
      </w:divBdr>
    </w:div>
    <w:div w:id="2125886040">
      <w:bodyDiv w:val="1"/>
      <w:marLeft w:val="0"/>
      <w:marRight w:val="0"/>
      <w:marTop w:val="0"/>
      <w:marBottom w:val="0"/>
      <w:divBdr>
        <w:top w:val="none" w:sz="0" w:space="0" w:color="auto"/>
        <w:left w:val="none" w:sz="0" w:space="0" w:color="auto"/>
        <w:bottom w:val="none" w:sz="0" w:space="0" w:color="auto"/>
        <w:right w:val="none" w:sz="0" w:space="0" w:color="auto"/>
      </w:divBdr>
    </w:div>
    <w:div w:id="213427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13" Type="http://schemas.openxmlformats.org/officeDocument/2006/relationships/hyperlink" Target="https://www.legifrance.gouv.fr/download/pdf?id=s3NNcWo5wyhoSeXFj-3FGF6VIs0OSt5HGx1KyTrJAYE=" TargetMode="External"/><Relationship Id="rId18" Type="http://schemas.openxmlformats.org/officeDocument/2006/relationships/hyperlink" Target="https://www.legifrance.gouv.fr/download/pdf?id=YGtGOcOutgCT0lpahNsxwZMD0LeooqkyAbZzfe5bjz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egifrance.gouv.fr/download/pdf?id=jJ4KqH1xgPAgl2Nj9vlrLXzLU0qEibk63km_B5Qb8I4=" TargetMode="External"/><Relationship Id="rId7" Type="http://schemas.openxmlformats.org/officeDocument/2006/relationships/endnotes" Target="endnotes.xml"/><Relationship Id="rId12" Type="http://schemas.openxmlformats.org/officeDocument/2006/relationships/hyperlink" Target="https://www.legifrance.gouv.fr/download/pdf?id=EAmWLxGvG57ixGceE5QSQB4itWteOscszblf1XTl3M4=" TargetMode="External"/><Relationship Id="rId17" Type="http://schemas.openxmlformats.org/officeDocument/2006/relationships/hyperlink" Target="https://www.legifrance.gouv.fr/download/pdf?id=EUnf9H3JlxuBEfTzDktTrgHzzERt1iX0PtobthCE6A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download/pdf?id=qQrgfnR7DynzxVgRYkiByodN4nZ8creyiY9Oib5-IYk=" TargetMode="External"/><Relationship Id="rId20" Type="http://schemas.openxmlformats.org/officeDocument/2006/relationships/hyperlink" Target="https://www.legifrance.gouv.fr/download/pdf?id=jJ4KqH1xgPAgl2Nj9vlrLV6VIs0OSt5HGx1KyTrJAY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download/pdf?id=7XX36jvDAF4Hu-V8Gan8DNw-0m97ritIE4ihC6z26f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france.gouv.fr/download/pdf?id=jJ4KqH1xgPAgl2Nj9vlrLSrFi06kv4uNmW1FL3_nvcg=" TargetMode="External"/><Relationship Id="rId23" Type="http://schemas.openxmlformats.org/officeDocument/2006/relationships/hyperlink" Target="https://www.legifrance.gouv.fr/download/pdf?id=G2I5P-md53whN6zTwv_9GcKaN5YM8TCPy2C_ZbLX96A=" TargetMode="External"/><Relationship Id="rId10" Type="http://schemas.openxmlformats.org/officeDocument/2006/relationships/hyperlink" Target="https://www.legifrance.gouv.fr/download/pdf?id=py9pu_kwOSDG5-zhHBIFxusiQWgncvhA0BJZQWgwVO0=" TargetMode="External"/><Relationship Id="rId19" Type="http://schemas.openxmlformats.org/officeDocument/2006/relationships/hyperlink" Target="https://www.legifrance.gouv.fr/download/pdf?id=YGtGOcOutgCT0lpahNsxwctLwN0K96F5mQLIWt1yovI=" TargetMode="External"/><Relationship Id="rId4" Type="http://schemas.openxmlformats.org/officeDocument/2006/relationships/settings" Target="settings.xml"/><Relationship Id="rId9" Type="http://schemas.openxmlformats.org/officeDocument/2006/relationships/hyperlink" Target="https://www.legifrance.gouv.fr/download/pdf?id=QeQErPHzNKeyMj_1rNBtuh91H61sXF80OAnHQno8K_4=" TargetMode="External"/><Relationship Id="rId14" Type="http://schemas.openxmlformats.org/officeDocument/2006/relationships/hyperlink" Target="https://www.legifrance.gouv.fr/download/pdf?id=G2I5P-md53whN6zTwv_9GW3_jl-AG5OU8reAnxwY_iE=" TargetMode="External"/><Relationship Id="rId22" Type="http://schemas.openxmlformats.org/officeDocument/2006/relationships/hyperlink" Target="https://www.legifrance.gouv.fr/download/pdf?id=py9pu_kwOSDG5-zhHBIFxtikVJ09SgPYYAeEnHhKk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B471F-4F22-4253-B2A1-70D4217D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6</Pages>
  <Words>2241</Words>
  <Characters>12329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Piatek</dc:creator>
  <cp:keywords/>
  <dc:description/>
  <cp:lastModifiedBy>Jean-Marc Piatek</cp:lastModifiedBy>
  <cp:revision>205</cp:revision>
  <dcterms:created xsi:type="dcterms:W3CDTF">2025-12-12T09:55:00Z</dcterms:created>
  <dcterms:modified xsi:type="dcterms:W3CDTF">2026-05-04T12:41:00Z</dcterms:modified>
</cp:coreProperties>
</file>