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C2E" w:rsidRPr="00A858BD" w:rsidRDefault="006A1C2E" w:rsidP="006A1C2E">
      <w:pPr>
        <w:shd w:val="clear" w:color="auto" w:fill="E7E6E6" w:themeFill="background2"/>
        <w:rPr>
          <w:b/>
          <w:i/>
          <w:sz w:val="28"/>
          <w:szCs w:val="28"/>
        </w:rPr>
      </w:pPr>
      <w:bookmarkStart w:id="0" w:name="_Hlk37146577"/>
      <w:r w:rsidRPr="00A858BD">
        <w:rPr>
          <w:b/>
          <w:i/>
          <w:sz w:val="28"/>
          <w:szCs w:val="28"/>
        </w:rPr>
        <w:t>Veille réglementaire</w:t>
      </w:r>
      <w:r>
        <w:rPr>
          <w:b/>
          <w:i/>
          <w:sz w:val="28"/>
          <w:szCs w:val="28"/>
        </w:rPr>
        <w:t xml:space="preserve"> #</w:t>
      </w:r>
      <w:r w:rsidR="00FA6690">
        <w:rPr>
          <w:b/>
          <w:i/>
          <w:sz w:val="28"/>
          <w:szCs w:val="28"/>
        </w:rPr>
        <w:t>janvier</w:t>
      </w:r>
      <w:r>
        <w:rPr>
          <w:b/>
          <w:i/>
          <w:sz w:val="28"/>
          <w:szCs w:val="28"/>
        </w:rPr>
        <w:t xml:space="preserve"> 202</w:t>
      </w:r>
      <w:r w:rsidR="00FA6690">
        <w:rPr>
          <w:b/>
          <w:i/>
          <w:sz w:val="28"/>
          <w:szCs w:val="28"/>
        </w:rPr>
        <w:t>6</w:t>
      </w:r>
    </w:p>
    <w:p w:rsidR="006A1C2E" w:rsidRDefault="006A1C2E" w:rsidP="006A1C2E"/>
    <w:p w:rsidR="006A1C2E" w:rsidRDefault="006A1C2E" w:rsidP="006A1C2E"/>
    <w:p w:rsidR="006A1C2E" w:rsidRDefault="00693CA9" w:rsidP="006A1C2E">
      <w:pPr>
        <w:jc w:val="both"/>
      </w:pPr>
      <w:r>
        <w:t>Le département Maîtrise de l’Énergie de l’ATEE propose chaque mois une sélection de textes réglementaires en lien avec la maîtrise de l’énergie, l’efficacité énergétique, l’environnement et la décarbonation.</w:t>
      </w:r>
    </w:p>
    <w:p w:rsidR="00693CA9" w:rsidRDefault="00693CA9" w:rsidP="006A1C2E">
      <w:pPr>
        <w:jc w:val="both"/>
      </w:pPr>
    </w:p>
    <w:bookmarkEnd w:id="0"/>
    <w:p w:rsidR="006A1C2E" w:rsidRDefault="00A67E1F" w:rsidP="006A1C2E">
      <w:pPr>
        <w:jc w:val="both"/>
      </w:pPr>
      <w:r>
        <w:t xml:space="preserve">Elle </w:t>
      </w:r>
      <w:r w:rsidR="006A1C2E" w:rsidRPr="0042040E">
        <w:t xml:space="preserve">s'adresse en premier </w:t>
      </w:r>
      <w:r>
        <w:t xml:space="preserve">lieu </w:t>
      </w:r>
      <w:r w:rsidR="006A1C2E" w:rsidRPr="0042040E">
        <w:t xml:space="preserve">aux </w:t>
      </w:r>
      <w:r>
        <w:t xml:space="preserve">personnes en charge de gérer les économies d’énergie et la décarbonation dans l’industrie qui ne </w:t>
      </w:r>
      <w:r w:rsidR="006A1C2E" w:rsidRPr="0042040E">
        <w:t>dispos</w:t>
      </w:r>
      <w:r>
        <w:t>e</w:t>
      </w:r>
      <w:r w:rsidR="006A1C2E" w:rsidRPr="0042040E">
        <w:t>nt pas de service de veille</w:t>
      </w:r>
      <w:r w:rsidR="006A1C2E">
        <w:t xml:space="preserve"> en interne</w:t>
      </w:r>
      <w:r>
        <w:t>, p</w:t>
      </w:r>
      <w:r w:rsidR="006A1C2E">
        <w:t>uis</w:t>
      </w:r>
      <w:r>
        <w:t xml:space="preserve"> </w:t>
      </w:r>
      <w:r w:rsidR="006A1C2E">
        <w:t>à tous ceux qui souhaitent consolider leur connaissance sur la réglementation.</w:t>
      </w:r>
    </w:p>
    <w:p w:rsidR="006A1C2E" w:rsidRDefault="006A1C2E" w:rsidP="006A1C2E">
      <w:pPr>
        <w:jc w:val="both"/>
      </w:pPr>
    </w:p>
    <w:p w:rsidR="00C44074" w:rsidRDefault="00C44074" w:rsidP="00C44074">
      <w:pPr>
        <w:jc w:val="both"/>
      </w:pPr>
      <w:r>
        <w:t xml:space="preserve">Pour rappel, notre veille réglementaire </w:t>
      </w:r>
      <w:r w:rsidRPr="00457C1A">
        <w:t>est obtenue à partir des textes législatifs et réglementaires</w:t>
      </w:r>
      <w:r>
        <w:t>,</w:t>
      </w:r>
      <w:r w:rsidRPr="00457C1A">
        <w:t xml:space="preserve"> édités par </w:t>
      </w:r>
      <w:proofErr w:type="spellStart"/>
      <w:r w:rsidRPr="00E53CE0">
        <w:rPr>
          <w:i/>
        </w:rPr>
        <w:t>Legifrance</w:t>
      </w:r>
      <w:proofErr w:type="spellEnd"/>
      <w:r>
        <w:t>, le</w:t>
      </w:r>
      <w:r w:rsidRPr="00E53CE0">
        <w:rPr>
          <w:i/>
        </w:rPr>
        <w:t xml:space="preserve"> </w:t>
      </w:r>
      <w:r w:rsidRPr="00457C1A">
        <w:t>service public de la diffusion du droit par l'Internet.</w:t>
      </w:r>
      <w:r w:rsidR="00B11543">
        <w:t xml:space="preserve"> Elle ne fait l’objet d’aucune sous-traitance.</w:t>
      </w:r>
    </w:p>
    <w:p w:rsidR="00C44074" w:rsidRDefault="00C44074" w:rsidP="00C44074">
      <w:pPr>
        <w:jc w:val="both"/>
      </w:pPr>
    </w:p>
    <w:p w:rsidR="00BE6573" w:rsidRDefault="00BE6573" w:rsidP="006A1C2E">
      <w:pPr>
        <w:jc w:val="both"/>
      </w:pPr>
      <w:r>
        <w:t xml:space="preserve">La réglementation étant en constante évolution, il est possible que certains textes mentionnés dans notre veille réglementaire aient été modifiés depuis leur publication. Nous vous invitons à vérifier la version en vigueur sur le site </w:t>
      </w:r>
      <w:hyperlink r:id="rId8" w:history="1">
        <w:r w:rsidRPr="00BE6573">
          <w:rPr>
            <w:rStyle w:val="Lienhypertexte"/>
          </w:rPr>
          <w:t>legifrance.gouv.fr</w:t>
        </w:r>
      </w:hyperlink>
      <w:r>
        <w:t>.</w:t>
      </w:r>
    </w:p>
    <w:p w:rsidR="00BE6573" w:rsidRDefault="00BE6573" w:rsidP="006A1C2E">
      <w:pPr>
        <w:jc w:val="both"/>
      </w:pPr>
    </w:p>
    <w:p w:rsidR="00DC0BB1" w:rsidRDefault="00DC0BB1" w:rsidP="00EB5104">
      <w:pPr>
        <w:pStyle w:val="Textebrut"/>
      </w:pPr>
    </w:p>
    <w:p w:rsidR="00BE6573" w:rsidRDefault="00BE6573" w:rsidP="00EB5104">
      <w:pPr>
        <w:pStyle w:val="Textebrut"/>
      </w:pPr>
    </w:p>
    <w:p w:rsidR="00481309" w:rsidRDefault="00481309" w:rsidP="00EB5104">
      <w:pPr>
        <w:pStyle w:val="Textebrut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084695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81309" w:rsidRDefault="00481309">
          <w:pPr>
            <w:pStyle w:val="En-ttedetabledesmatires"/>
          </w:pPr>
          <w:r>
            <w:t>Table des matières</w:t>
          </w:r>
        </w:p>
        <w:p w:rsidR="0045517A" w:rsidRDefault="00481309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008432" w:history="1">
            <w:r w:rsidR="0045517A" w:rsidRPr="00B34DB7">
              <w:rPr>
                <w:rStyle w:val="Lienhypertexte"/>
                <w:noProof/>
              </w:rPr>
              <w:t>Bâtiments – Performance énergétique</w:t>
            </w:r>
            <w:r w:rsidR="0045517A">
              <w:rPr>
                <w:noProof/>
                <w:webHidden/>
              </w:rPr>
              <w:tab/>
            </w:r>
            <w:r w:rsidR="0045517A">
              <w:rPr>
                <w:noProof/>
                <w:webHidden/>
              </w:rPr>
              <w:fldChar w:fldCharType="begin"/>
            </w:r>
            <w:r w:rsidR="0045517A">
              <w:rPr>
                <w:noProof/>
                <w:webHidden/>
              </w:rPr>
              <w:instrText xml:space="preserve"> PAGEREF _Toc221008432 \h </w:instrText>
            </w:r>
            <w:r w:rsidR="0045517A">
              <w:rPr>
                <w:noProof/>
                <w:webHidden/>
              </w:rPr>
            </w:r>
            <w:r w:rsidR="0045517A">
              <w:rPr>
                <w:noProof/>
                <w:webHidden/>
              </w:rPr>
              <w:fldChar w:fldCharType="separate"/>
            </w:r>
            <w:r w:rsidR="0045517A">
              <w:rPr>
                <w:noProof/>
                <w:webHidden/>
              </w:rPr>
              <w:t>2</w:t>
            </w:r>
            <w:r w:rsidR="0045517A">
              <w:rPr>
                <w:noProof/>
                <w:webHidden/>
              </w:rPr>
              <w:fldChar w:fldCharType="end"/>
            </w:r>
          </w:hyperlink>
        </w:p>
        <w:p w:rsidR="0045517A" w:rsidRDefault="00455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1008433" w:history="1">
            <w:r w:rsidRPr="00B34DB7">
              <w:rPr>
                <w:rStyle w:val="Lienhypertexte"/>
                <w:noProof/>
              </w:rPr>
              <w:t>Biogaz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_Toc221008433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517A" w:rsidRDefault="00455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1008434" w:history="1">
            <w:r w:rsidRPr="00B34DB7">
              <w:rPr>
                <w:rStyle w:val="Lienhypertexte"/>
                <w:noProof/>
              </w:rPr>
              <w:t>Certificats d’économies d’énergie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_Toc221008434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517A" w:rsidRDefault="00455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1008435" w:history="1">
            <w:r w:rsidRPr="00B34DB7">
              <w:rPr>
                <w:rStyle w:val="Lienhypertexte"/>
                <w:noProof/>
              </w:rPr>
              <w:t>Changement climatique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_Toc221008435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517A" w:rsidRDefault="00455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1008436" w:history="1">
            <w:r w:rsidRPr="00B34DB7">
              <w:rPr>
                <w:rStyle w:val="Lienhypertexte"/>
                <w:noProof/>
              </w:rPr>
              <w:t>Convention collective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_Toc221008436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517A" w:rsidRDefault="00455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1008437" w:history="1">
            <w:r w:rsidRPr="00B34DB7">
              <w:rPr>
                <w:rStyle w:val="Lienhypertexte"/>
                <w:noProof/>
              </w:rPr>
              <w:t>Eau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_Toc221008437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517A" w:rsidRDefault="00455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1008438" w:history="1">
            <w:r w:rsidRPr="00B34DB7">
              <w:rPr>
                <w:rStyle w:val="Lienhypertexte"/>
                <w:noProof/>
              </w:rPr>
              <w:t>Plan France 2030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_Toc221008438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517A" w:rsidRDefault="00455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1008439" w:history="1">
            <w:r w:rsidRPr="00B34DB7">
              <w:rPr>
                <w:rStyle w:val="Lienhypertexte"/>
                <w:noProof/>
              </w:rPr>
              <w:t>Tarifs réglementés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_Toc221008439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517A" w:rsidRDefault="00455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1008440" w:history="1">
            <w:r w:rsidRPr="00B34DB7">
              <w:rPr>
                <w:rStyle w:val="Lienhypertexte"/>
                <w:noProof/>
              </w:rPr>
              <w:t>Taux contribution tarifaire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_Toc221008440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517A" w:rsidRDefault="00455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1008441" w:history="1">
            <w:r w:rsidRPr="00B34DB7">
              <w:rPr>
                <w:rStyle w:val="Lienhypertexte"/>
                <w:noProof/>
              </w:rPr>
              <w:t>Transport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_Toc221008441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1309" w:rsidRDefault="00481309">
          <w:r>
            <w:rPr>
              <w:b/>
              <w:bCs/>
            </w:rPr>
            <w:fldChar w:fldCharType="end"/>
          </w:r>
        </w:p>
      </w:sdtContent>
    </w:sdt>
    <w:p w:rsidR="00A84207" w:rsidRDefault="00A84207">
      <w:pPr>
        <w:spacing w:after="160" w:line="259" w:lineRule="auto"/>
        <w:rPr>
          <w:rFonts w:ascii="Calibri" w:hAnsi="Calibri"/>
          <w:szCs w:val="21"/>
        </w:rPr>
      </w:pPr>
      <w:r>
        <w:br w:type="page"/>
      </w:r>
    </w:p>
    <w:p w:rsidR="001207FC" w:rsidRDefault="001207FC" w:rsidP="001207FC">
      <w:pPr>
        <w:pStyle w:val="Titre1"/>
      </w:pPr>
      <w:bookmarkStart w:id="1" w:name="_Toc221008432"/>
      <w:r>
        <w:lastRenderedPageBreak/>
        <w:t>Bâtiments – Performance énergétique</w:t>
      </w:r>
      <w:bookmarkEnd w:id="1"/>
    </w:p>
    <w:p w:rsidR="00FE620C" w:rsidRDefault="00FE620C" w:rsidP="00FF1864">
      <w:pPr>
        <w:pStyle w:val="Textebrut"/>
        <w:jc w:val="both"/>
      </w:pPr>
    </w:p>
    <w:p w:rsidR="00717478" w:rsidRPr="00F46757" w:rsidRDefault="001207FC" w:rsidP="00F46757">
      <w:pPr>
        <w:pStyle w:val="Textebrut"/>
        <w:pBdr>
          <w:left w:val="single" w:sz="4" w:space="4" w:color="auto"/>
        </w:pBdr>
        <w:jc w:val="both"/>
        <w:rPr>
          <w:b/>
        </w:rPr>
      </w:pPr>
      <w:r w:rsidRPr="00F46757">
        <w:rPr>
          <w:b/>
        </w:rPr>
        <w:sym w:font="Wingdings" w:char="F0E8"/>
      </w:r>
      <w:r w:rsidRPr="00F46757">
        <w:rPr>
          <w:b/>
        </w:rPr>
        <w:t xml:space="preserve"> </w:t>
      </w:r>
      <w:r w:rsidR="00F46757" w:rsidRPr="00F46757">
        <w:rPr>
          <w:b/>
        </w:rPr>
        <w:t>Exigences de performance énergétique et environnementale applicables aux projets de construction de bâtiments ou de parties de bâtiments en France métropolitaine</w:t>
      </w:r>
    </w:p>
    <w:p w:rsidR="001207FC" w:rsidRDefault="001207FC" w:rsidP="00F46757">
      <w:pPr>
        <w:pStyle w:val="Textebrut"/>
        <w:pBdr>
          <w:left w:val="single" w:sz="4" w:space="4" w:color="auto"/>
        </w:pBdr>
        <w:jc w:val="both"/>
      </w:pPr>
    </w:p>
    <w:p w:rsidR="002F07B6" w:rsidRDefault="00F46757" w:rsidP="00F46757">
      <w:pPr>
        <w:pStyle w:val="Textebrut"/>
        <w:pBdr>
          <w:left w:val="single" w:sz="4" w:space="4" w:color="auto"/>
        </w:pBdr>
        <w:jc w:val="both"/>
      </w:pPr>
      <w:r>
        <w:t xml:space="preserve">Le décret fixe les </w:t>
      </w:r>
      <w:bookmarkStart w:id="2" w:name="_Hlk220947015"/>
      <w:r>
        <w:t>exigences de performance énergétique et environnementale applicables aux projets de construction de bâtiments ou de parties de bâtiments en France métropolitaine</w:t>
      </w:r>
      <w:bookmarkEnd w:id="2"/>
      <w:r>
        <w:t xml:space="preserve"> pour </w:t>
      </w:r>
      <w:r w:rsidRPr="00263C68">
        <w:rPr>
          <w:b/>
        </w:rPr>
        <w:t>les usages de bâtiments suivants</w:t>
      </w:r>
      <w:r>
        <w:t xml:space="preserve"> : </w:t>
      </w:r>
    </w:p>
    <w:p w:rsidR="002F07B6" w:rsidRDefault="002F07B6" w:rsidP="0005459C">
      <w:pPr>
        <w:pStyle w:val="Textebrut"/>
        <w:numPr>
          <w:ilvl w:val="0"/>
          <w:numId w:val="9"/>
        </w:numPr>
        <w:pBdr>
          <w:left w:val="single" w:sz="4" w:space="4" w:color="auto"/>
        </w:pBdr>
        <w:jc w:val="both"/>
      </w:pPr>
      <w:r>
        <w:t>Médiathèques et bibliothèques ;</w:t>
      </w:r>
    </w:p>
    <w:p w:rsidR="002F07B6" w:rsidRDefault="002F07B6" w:rsidP="0005459C">
      <w:pPr>
        <w:pStyle w:val="Textebrut"/>
        <w:numPr>
          <w:ilvl w:val="0"/>
          <w:numId w:val="9"/>
        </w:numPr>
        <w:pBdr>
          <w:left w:val="single" w:sz="4" w:space="4" w:color="auto"/>
        </w:pBdr>
        <w:jc w:val="both"/>
      </w:pPr>
      <w:r>
        <w:t>Bâtiments d’enseignements atypiques ;</w:t>
      </w:r>
    </w:p>
    <w:p w:rsidR="002F07B6" w:rsidRDefault="002F07B6" w:rsidP="0005459C">
      <w:pPr>
        <w:pStyle w:val="Textebrut"/>
        <w:numPr>
          <w:ilvl w:val="0"/>
          <w:numId w:val="9"/>
        </w:numPr>
        <w:pBdr>
          <w:left w:val="single" w:sz="4" w:space="4" w:color="auto"/>
        </w:pBdr>
        <w:jc w:val="both"/>
      </w:pPr>
      <w:r>
        <w:t>Bâtiments universitaires d’enseignement et de recherche ;</w:t>
      </w:r>
    </w:p>
    <w:p w:rsidR="002F07B6" w:rsidRDefault="002F07B6" w:rsidP="0005459C">
      <w:pPr>
        <w:pStyle w:val="Textebrut"/>
        <w:numPr>
          <w:ilvl w:val="0"/>
          <w:numId w:val="9"/>
        </w:numPr>
        <w:pBdr>
          <w:left w:val="single" w:sz="4" w:space="4" w:color="auto"/>
        </w:pBdr>
        <w:jc w:val="both"/>
      </w:pPr>
      <w:r>
        <w:t>Hôtels ;</w:t>
      </w:r>
    </w:p>
    <w:p w:rsidR="002F07B6" w:rsidRDefault="002F07B6" w:rsidP="0005459C">
      <w:pPr>
        <w:pStyle w:val="Textebrut"/>
        <w:numPr>
          <w:ilvl w:val="0"/>
          <w:numId w:val="9"/>
        </w:numPr>
        <w:pBdr>
          <w:left w:val="single" w:sz="4" w:space="4" w:color="auto"/>
        </w:pBdr>
        <w:jc w:val="both"/>
      </w:pPr>
      <w:r>
        <w:t>Etablissements d’accueil de la petite enfance ;</w:t>
      </w:r>
    </w:p>
    <w:p w:rsidR="002F07B6" w:rsidRDefault="002F07B6" w:rsidP="0005459C">
      <w:pPr>
        <w:pStyle w:val="Textebrut"/>
        <w:numPr>
          <w:ilvl w:val="0"/>
          <w:numId w:val="9"/>
        </w:numPr>
        <w:pBdr>
          <w:left w:val="single" w:sz="4" w:space="4" w:color="auto"/>
        </w:pBdr>
        <w:jc w:val="both"/>
      </w:pPr>
      <w:r>
        <w:t>Restaurants ;</w:t>
      </w:r>
    </w:p>
    <w:p w:rsidR="002F07B6" w:rsidRDefault="002F07B6" w:rsidP="0005459C">
      <w:pPr>
        <w:pStyle w:val="Textebrut"/>
        <w:numPr>
          <w:ilvl w:val="0"/>
          <w:numId w:val="9"/>
        </w:numPr>
        <w:pBdr>
          <w:left w:val="single" w:sz="4" w:space="4" w:color="auto"/>
        </w:pBdr>
        <w:jc w:val="both"/>
      </w:pPr>
      <w:r>
        <w:t>Commerces ;</w:t>
      </w:r>
    </w:p>
    <w:p w:rsidR="002F07B6" w:rsidRDefault="002F07B6" w:rsidP="0005459C">
      <w:pPr>
        <w:pStyle w:val="Textebrut"/>
        <w:numPr>
          <w:ilvl w:val="0"/>
          <w:numId w:val="9"/>
        </w:numPr>
        <w:pBdr>
          <w:left w:val="single" w:sz="4" w:space="4" w:color="auto"/>
        </w:pBdr>
        <w:jc w:val="both"/>
      </w:pPr>
      <w:r>
        <w:t>Vestiaires seuls ;</w:t>
      </w:r>
    </w:p>
    <w:p w:rsidR="002F07B6" w:rsidRDefault="002F07B6" w:rsidP="0005459C">
      <w:pPr>
        <w:pStyle w:val="Textebrut"/>
        <w:numPr>
          <w:ilvl w:val="0"/>
          <w:numId w:val="9"/>
        </w:numPr>
        <w:pBdr>
          <w:left w:val="single" w:sz="4" w:space="4" w:color="auto"/>
        </w:pBdr>
        <w:jc w:val="both"/>
      </w:pPr>
      <w:r>
        <w:t>Etablissements sanitaires avec hébergements ;</w:t>
      </w:r>
    </w:p>
    <w:p w:rsidR="002F07B6" w:rsidRDefault="002F07B6" w:rsidP="0005459C">
      <w:pPr>
        <w:pStyle w:val="Textebrut"/>
        <w:numPr>
          <w:ilvl w:val="0"/>
          <w:numId w:val="9"/>
        </w:numPr>
        <w:pBdr>
          <w:left w:val="single" w:sz="4" w:space="4" w:color="auto"/>
        </w:pBdr>
        <w:jc w:val="both"/>
      </w:pPr>
      <w:r>
        <w:t>Etablissements de santé ;</w:t>
      </w:r>
    </w:p>
    <w:p w:rsidR="002F07B6" w:rsidRDefault="002F07B6" w:rsidP="0005459C">
      <w:pPr>
        <w:pStyle w:val="Textebrut"/>
        <w:numPr>
          <w:ilvl w:val="0"/>
          <w:numId w:val="9"/>
        </w:numPr>
        <w:pBdr>
          <w:left w:val="single" w:sz="4" w:space="4" w:color="auto"/>
        </w:pBdr>
        <w:jc w:val="both"/>
      </w:pPr>
      <w:r>
        <w:t>Aérogares ;</w:t>
      </w:r>
    </w:p>
    <w:p w:rsidR="002F07B6" w:rsidRDefault="002F07B6" w:rsidP="0005459C">
      <w:pPr>
        <w:pStyle w:val="Textebrut"/>
        <w:numPr>
          <w:ilvl w:val="0"/>
          <w:numId w:val="9"/>
        </w:numPr>
        <w:pBdr>
          <w:left w:val="single" w:sz="4" w:space="4" w:color="auto"/>
        </w:pBdr>
        <w:jc w:val="both"/>
      </w:pPr>
      <w:r>
        <w:t>Bâtiments à usage industriel et artisanal ;</w:t>
      </w:r>
    </w:p>
    <w:p w:rsidR="002F07B6" w:rsidRDefault="002F07B6" w:rsidP="0005459C">
      <w:pPr>
        <w:pStyle w:val="Textebrut"/>
        <w:numPr>
          <w:ilvl w:val="0"/>
          <w:numId w:val="9"/>
        </w:numPr>
        <w:pBdr>
          <w:left w:val="single" w:sz="4" w:space="4" w:color="auto"/>
        </w:pBdr>
        <w:jc w:val="both"/>
      </w:pPr>
      <w:r>
        <w:t>Etablissements sportifs.</w:t>
      </w:r>
    </w:p>
    <w:p w:rsidR="00F46757" w:rsidRDefault="00F46757" w:rsidP="00F46757">
      <w:pPr>
        <w:pStyle w:val="Textebrut"/>
        <w:pBdr>
          <w:left w:val="single" w:sz="4" w:space="4" w:color="auto"/>
        </w:pBdr>
        <w:jc w:val="both"/>
      </w:pPr>
    </w:p>
    <w:p w:rsidR="00F46757" w:rsidRDefault="00F46757" w:rsidP="00F46757">
      <w:pPr>
        <w:pStyle w:val="Textebrut"/>
        <w:pBdr>
          <w:left w:val="single" w:sz="4" w:space="4" w:color="auto"/>
        </w:pBdr>
        <w:jc w:val="both"/>
      </w:pPr>
      <w:r>
        <w:t xml:space="preserve">Il concerne plus spécifiquement </w:t>
      </w:r>
      <w:r w:rsidRPr="00263C68">
        <w:rPr>
          <w:b/>
        </w:rPr>
        <w:t>les cinq exigences de résultat suivantes</w:t>
      </w:r>
      <w:r>
        <w:t xml:space="preserve"> : </w:t>
      </w:r>
    </w:p>
    <w:p w:rsidR="00F46757" w:rsidRDefault="00F46757" w:rsidP="00263C68">
      <w:pPr>
        <w:pStyle w:val="Textebrut"/>
        <w:numPr>
          <w:ilvl w:val="0"/>
          <w:numId w:val="11"/>
        </w:numPr>
        <w:pBdr>
          <w:left w:val="single" w:sz="4" w:space="4" w:color="auto"/>
        </w:pBdr>
        <w:jc w:val="both"/>
      </w:pPr>
      <w:proofErr w:type="gramStart"/>
      <w:r>
        <w:t>l’optimisation</w:t>
      </w:r>
      <w:proofErr w:type="gramEnd"/>
      <w:r>
        <w:t xml:space="preserve"> de la conception énergétique du bâti indépendamment des systèmes énergétiques mis en œuvre, </w:t>
      </w:r>
    </w:p>
    <w:p w:rsidR="00F46757" w:rsidRDefault="00F46757" w:rsidP="00263C68">
      <w:pPr>
        <w:pStyle w:val="Textebrut"/>
        <w:numPr>
          <w:ilvl w:val="0"/>
          <w:numId w:val="11"/>
        </w:numPr>
        <w:pBdr>
          <w:left w:val="single" w:sz="4" w:space="4" w:color="auto"/>
        </w:pBdr>
        <w:jc w:val="both"/>
      </w:pPr>
      <w:proofErr w:type="gramStart"/>
      <w:r>
        <w:t>la</w:t>
      </w:r>
      <w:proofErr w:type="gramEnd"/>
      <w:r>
        <w:t xml:space="preserve"> limitation de la consommation d’énergie primaire, </w:t>
      </w:r>
    </w:p>
    <w:p w:rsidR="00F46757" w:rsidRDefault="00F46757" w:rsidP="00263C68">
      <w:pPr>
        <w:pStyle w:val="Textebrut"/>
        <w:numPr>
          <w:ilvl w:val="0"/>
          <w:numId w:val="11"/>
        </w:numPr>
        <w:pBdr>
          <w:left w:val="single" w:sz="4" w:space="4" w:color="auto"/>
        </w:pBdr>
        <w:jc w:val="both"/>
      </w:pPr>
      <w:proofErr w:type="gramStart"/>
      <w:r>
        <w:t>la</w:t>
      </w:r>
      <w:proofErr w:type="gramEnd"/>
      <w:r>
        <w:t xml:space="preserve"> limitation de l’impact sur le changement climatique associé à ces consommations, </w:t>
      </w:r>
    </w:p>
    <w:p w:rsidR="00F46757" w:rsidRDefault="00F46757" w:rsidP="00263C68">
      <w:pPr>
        <w:pStyle w:val="Textebrut"/>
        <w:numPr>
          <w:ilvl w:val="0"/>
          <w:numId w:val="11"/>
        </w:numPr>
        <w:pBdr>
          <w:left w:val="single" w:sz="4" w:space="4" w:color="auto"/>
        </w:pBdr>
        <w:jc w:val="both"/>
      </w:pPr>
      <w:proofErr w:type="gramStart"/>
      <w:r>
        <w:t>la</w:t>
      </w:r>
      <w:proofErr w:type="gramEnd"/>
      <w:r>
        <w:t xml:space="preserve"> limitation de l’impact des composants du bâtiment sur le changement climatique,</w:t>
      </w:r>
    </w:p>
    <w:p w:rsidR="00F46757" w:rsidRDefault="00F46757" w:rsidP="00263C68">
      <w:pPr>
        <w:pStyle w:val="Textebrut"/>
        <w:numPr>
          <w:ilvl w:val="0"/>
          <w:numId w:val="11"/>
        </w:numPr>
        <w:pBdr>
          <w:left w:val="single" w:sz="4" w:space="4" w:color="auto"/>
        </w:pBdr>
        <w:jc w:val="both"/>
      </w:pPr>
      <w:proofErr w:type="gramStart"/>
      <w:r>
        <w:t>la</w:t>
      </w:r>
      <w:proofErr w:type="gramEnd"/>
      <w:r>
        <w:t xml:space="preserve"> limitation des situations d’inconfort dans le bâtiment en période estivale.</w:t>
      </w:r>
    </w:p>
    <w:p w:rsidR="00F46757" w:rsidRDefault="00F46757" w:rsidP="00F46757">
      <w:pPr>
        <w:pStyle w:val="Textebrut"/>
        <w:pBdr>
          <w:left w:val="single" w:sz="4" w:space="4" w:color="auto"/>
        </w:pBdr>
        <w:jc w:val="both"/>
      </w:pPr>
    </w:p>
    <w:p w:rsidR="0005459C" w:rsidRDefault="0005459C" w:rsidP="00F46757">
      <w:pPr>
        <w:pStyle w:val="Textebrut"/>
        <w:pBdr>
          <w:left w:val="single" w:sz="4" w:space="4" w:color="auto"/>
        </w:pBdr>
        <w:jc w:val="both"/>
      </w:pPr>
      <w:r>
        <w:t xml:space="preserve">Ces dispositions </w:t>
      </w:r>
      <w:r w:rsidRPr="00263C68">
        <w:rPr>
          <w:b/>
        </w:rPr>
        <w:t>ne s’appliquent pas à</w:t>
      </w:r>
      <w:r>
        <w:t xml:space="preserve"> : </w:t>
      </w:r>
    </w:p>
    <w:p w:rsidR="0005459C" w:rsidRDefault="0005459C" w:rsidP="00263C68">
      <w:pPr>
        <w:pStyle w:val="Textebrut"/>
        <w:numPr>
          <w:ilvl w:val="0"/>
          <w:numId w:val="10"/>
        </w:numPr>
        <w:pBdr>
          <w:left w:val="single" w:sz="4" w:space="4" w:color="auto"/>
        </w:pBdr>
        <w:jc w:val="both"/>
      </w:pPr>
      <w:r>
        <w:t xml:space="preserve">La construction de bâtiments ou de parties de bâtiments qui, en raison de contraintes spécifiques liées à leur usage, doivent garantir des conditions particulières de température, d’hygrométrie ou de qualité de l’air et nécessitant, de ce fait, des règles particulières ; </w:t>
      </w:r>
    </w:p>
    <w:p w:rsidR="0005459C" w:rsidRDefault="0005459C" w:rsidP="00263C68">
      <w:pPr>
        <w:pStyle w:val="Textebrut"/>
        <w:numPr>
          <w:ilvl w:val="0"/>
          <w:numId w:val="10"/>
        </w:numPr>
        <w:pBdr>
          <w:left w:val="single" w:sz="4" w:space="4" w:color="auto"/>
        </w:pBdr>
        <w:jc w:val="both"/>
      </w:pPr>
      <w:r>
        <w:t>La construction temporaire de bâtiments ou de parties de bâtiments mentionnés à l’article R.* 421-5 du code de l’urbanisme ou implantés pour une durée n’excédant pas deux ans ;</w:t>
      </w:r>
    </w:p>
    <w:p w:rsidR="0005459C" w:rsidRDefault="0005459C" w:rsidP="00263C68">
      <w:pPr>
        <w:pStyle w:val="Textebrut"/>
        <w:numPr>
          <w:ilvl w:val="0"/>
          <w:numId w:val="10"/>
        </w:numPr>
        <w:pBdr>
          <w:left w:val="single" w:sz="4" w:space="4" w:color="auto"/>
        </w:pBdr>
        <w:jc w:val="both"/>
      </w:pPr>
      <w:r>
        <w:t>La construction ou l’extension de bâtiments d’une surface inférieure à 50 m2 ;</w:t>
      </w:r>
    </w:p>
    <w:p w:rsidR="0005459C" w:rsidRDefault="0005459C" w:rsidP="00263C68">
      <w:pPr>
        <w:pStyle w:val="Textebrut"/>
        <w:numPr>
          <w:ilvl w:val="0"/>
          <w:numId w:val="10"/>
        </w:numPr>
        <w:pBdr>
          <w:left w:val="single" w:sz="4" w:space="4" w:color="auto"/>
        </w:pBdr>
        <w:jc w:val="both"/>
      </w:pPr>
      <w:r>
        <w:t>L’extension de bâtiments d’une surface cumulativement inférieure à 150 m2 et inférieure à 30 % de la surface des locaux existants.</w:t>
      </w:r>
    </w:p>
    <w:p w:rsidR="0005459C" w:rsidRDefault="0005459C" w:rsidP="00F46757">
      <w:pPr>
        <w:pStyle w:val="Textebrut"/>
        <w:pBdr>
          <w:left w:val="single" w:sz="4" w:space="4" w:color="auto"/>
        </w:pBdr>
        <w:jc w:val="both"/>
      </w:pPr>
    </w:p>
    <w:p w:rsidR="00F46757" w:rsidRPr="00F46757" w:rsidRDefault="00F46757" w:rsidP="00F46757">
      <w:pPr>
        <w:pStyle w:val="Textebrut"/>
        <w:pBdr>
          <w:left w:val="single" w:sz="4" w:space="4" w:color="auto"/>
        </w:pBdr>
        <w:jc w:val="both"/>
        <w:rPr>
          <w:i/>
        </w:rPr>
      </w:pPr>
      <w:hyperlink r:id="rId9" w:history="1">
        <w:r w:rsidRPr="00F46757">
          <w:rPr>
            <w:rStyle w:val="Lienhypertexte"/>
            <w:b/>
            <w:i/>
            <w:color w:val="auto"/>
          </w:rPr>
          <w:t>Décret n° 2026-16 du 15 janvier 2026</w:t>
        </w:r>
        <w:r w:rsidRPr="00F46757">
          <w:rPr>
            <w:rStyle w:val="Lienhypertexte"/>
            <w:i/>
            <w:color w:val="auto"/>
          </w:rPr>
          <w:t xml:space="preserve"> relatif aux exigences de performance énergétique et environnementale des constructions de bâtiments d'activités tertiaires spécifiques et de bâtiments à usage industriel et artisanal en France métropolitaine.</w:t>
        </w:r>
      </w:hyperlink>
    </w:p>
    <w:p w:rsidR="001207FC" w:rsidRDefault="001207FC" w:rsidP="00FF1864">
      <w:pPr>
        <w:pStyle w:val="Textebrut"/>
        <w:jc w:val="both"/>
      </w:pPr>
    </w:p>
    <w:p w:rsidR="001207FC" w:rsidRDefault="001207FC" w:rsidP="00FF1864">
      <w:pPr>
        <w:pStyle w:val="Textebrut"/>
        <w:jc w:val="both"/>
      </w:pPr>
    </w:p>
    <w:p w:rsidR="005D1CB7" w:rsidRDefault="005D1CB7" w:rsidP="00FF1864">
      <w:pPr>
        <w:pStyle w:val="Textebrut"/>
        <w:jc w:val="both"/>
      </w:pPr>
    </w:p>
    <w:p w:rsidR="00347591" w:rsidRDefault="00347591" w:rsidP="00347591">
      <w:pPr>
        <w:pStyle w:val="Titre1"/>
      </w:pPr>
      <w:bookmarkStart w:id="3" w:name="_Toc221008433"/>
      <w:r>
        <w:t>Biogaz</w:t>
      </w:r>
      <w:bookmarkEnd w:id="3"/>
    </w:p>
    <w:p w:rsidR="00347591" w:rsidRDefault="00347591" w:rsidP="00347591">
      <w:pPr>
        <w:jc w:val="both"/>
      </w:pPr>
    </w:p>
    <w:p w:rsidR="00F73EDE" w:rsidRPr="00625B63" w:rsidRDefault="00F73EDE" w:rsidP="00EE444C">
      <w:pPr>
        <w:pBdr>
          <w:left w:val="single" w:sz="4" w:space="4" w:color="auto"/>
        </w:pBdr>
        <w:jc w:val="both"/>
        <w:rPr>
          <w:b/>
        </w:rPr>
      </w:pPr>
      <w:r w:rsidRPr="00625B63">
        <w:rPr>
          <w:b/>
        </w:rPr>
        <w:sym w:font="Wingdings" w:char="F0E8"/>
      </w:r>
      <w:r w:rsidRPr="00625B63">
        <w:rPr>
          <w:b/>
        </w:rPr>
        <w:t xml:space="preserve"> Agrément des organismes de contrôle </w:t>
      </w:r>
    </w:p>
    <w:p w:rsidR="00F73EDE" w:rsidRDefault="00F73EDE" w:rsidP="00EE444C">
      <w:pPr>
        <w:pBdr>
          <w:left w:val="single" w:sz="4" w:space="4" w:color="auto"/>
        </w:pBdr>
        <w:jc w:val="both"/>
      </w:pPr>
    </w:p>
    <w:p w:rsidR="00BB583F" w:rsidRPr="00625B63" w:rsidRDefault="00625B63" w:rsidP="00EE444C">
      <w:pPr>
        <w:pStyle w:val="Textebrut"/>
        <w:pBdr>
          <w:left w:val="single" w:sz="4" w:space="4" w:color="auto"/>
        </w:pBdr>
        <w:rPr>
          <w:i/>
        </w:rPr>
      </w:pPr>
      <w:hyperlink r:id="rId10" w:history="1">
        <w:r w:rsidR="00BB583F" w:rsidRPr="00625B63">
          <w:rPr>
            <w:rStyle w:val="Lienhypertexte"/>
            <w:b/>
            <w:i/>
            <w:color w:val="auto"/>
          </w:rPr>
          <w:t>Arrêté du 26 janvier 2026</w:t>
        </w:r>
        <w:r w:rsidR="00BB583F" w:rsidRPr="00625B63">
          <w:rPr>
            <w:rStyle w:val="Lienhypertexte"/>
            <w:i/>
            <w:color w:val="auto"/>
          </w:rPr>
          <w:t xml:space="preserve"> relatif à l'agrément de la société SOCOTEC EQUIPEMENTS en application de l'article R. 446-16-9 du code de l'énergie</w:t>
        </w:r>
        <w:r w:rsidR="00F73EDE" w:rsidRPr="00625B63">
          <w:rPr>
            <w:rStyle w:val="Lienhypertexte"/>
            <w:i/>
            <w:color w:val="auto"/>
          </w:rPr>
          <w:t>.</w:t>
        </w:r>
      </w:hyperlink>
    </w:p>
    <w:p w:rsidR="00BB583F" w:rsidRPr="00154B5C" w:rsidRDefault="00154B5C" w:rsidP="00EE444C">
      <w:pPr>
        <w:pStyle w:val="Textebrut"/>
        <w:pBdr>
          <w:left w:val="single" w:sz="4" w:space="4" w:color="auto"/>
        </w:pBdr>
        <w:rPr>
          <w:rStyle w:val="Lienhypertexte"/>
        </w:rPr>
      </w:pPr>
      <w:r>
        <w:fldChar w:fldCharType="begin"/>
      </w:r>
      <w:r>
        <w:instrText xml:space="preserve"> HYPERLINK "https://www.legifrance.gouv.fr/download/pdf?id=1dtsvcon6dc8EiLwbI1AL1VbqlB-xT1BMnui4USyxY4=" </w:instrText>
      </w:r>
      <w:r>
        <w:fldChar w:fldCharType="separate"/>
      </w:r>
      <w:r w:rsidR="00BB583F" w:rsidRPr="00154B5C">
        <w:rPr>
          <w:rStyle w:val="Lienhypertexte"/>
        </w:rPr>
        <w:t xml:space="preserve">        </w:t>
      </w:r>
    </w:p>
    <w:p w:rsidR="00BB583F" w:rsidRPr="00154B5C" w:rsidRDefault="00BB583F" w:rsidP="00EE444C">
      <w:pPr>
        <w:pStyle w:val="Textebrut"/>
        <w:pBdr>
          <w:left w:val="single" w:sz="4" w:space="4" w:color="auto"/>
        </w:pBdr>
        <w:jc w:val="both"/>
        <w:rPr>
          <w:i/>
        </w:rPr>
      </w:pPr>
      <w:r w:rsidRPr="00154B5C">
        <w:rPr>
          <w:rStyle w:val="Lienhypertexte"/>
          <w:b/>
          <w:i/>
          <w:color w:val="auto"/>
        </w:rPr>
        <w:t>Arrêté du 26 janvier 2026</w:t>
      </w:r>
      <w:r w:rsidRPr="00154B5C">
        <w:rPr>
          <w:rStyle w:val="Lienhypertexte"/>
          <w:i/>
          <w:color w:val="auto"/>
        </w:rPr>
        <w:t xml:space="preserve"> relatif à l'agrément de la société APAVE EXPLOITATION FRANCE en application de l'article R. 446-16-9 du code de l'énergie</w:t>
      </w:r>
      <w:r w:rsidR="00154B5C" w:rsidRPr="00154B5C">
        <w:rPr>
          <w:rStyle w:val="Lienhypertexte"/>
          <w:i/>
          <w:color w:val="auto"/>
        </w:rPr>
        <w:t>.</w:t>
      </w:r>
      <w:r w:rsidR="00154B5C" w:rsidRPr="00154B5C">
        <w:rPr>
          <w:i/>
        </w:rPr>
        <w:fldChar w:fldCharType="end"/>
      </w:r>
    </w:p>
    <w:p w:rsidR="00BB583F" w:rsidRDefault="00BB583F" w:rsidP="00EE444C">
      <w:pPr>
        <w:pBdr>
          <w:left w:val="single" w:sz="4" w:space="4" w:color="auto"/>
        </w:pBdr>
        <w:jc w:val="both"/>
      </w:pPr>
      <w:r>
        <w:t xml:space="preserve">        </w:t>
      </w:r>
    </w:p>
    <w:p w:rsidR="00BB583F" w:rsidRPr="00154B5C" w:rsidRDefault="00154B5C" w:rsidP="00EE444C">
      <w:pPr>
        <w:pStyle w:val="Textebrut"/>
        <w:pBdr>
          <w:left w:val="single" w:sz="4" w:space="4" w:color="auto"/>
        </w:pBdr>
        <w:jc w:val="both"/>
        <w:rPr>
          <w:i/>
        </w:rPr>
      </w:pPr>
      <w:hyperlink r:id="rId11" w:history="1">
        <w:r w:rsidR="00BB583F" w:rsidRPr="00154B5C">
          <w:rPr>
            <w:rStyle w:val="Lienhypertexte"/>
            <w:b/>
            <w:i/>
            <w:color w:val="auto"/>
          </w:rPr>
          <w:t>Arrêté du 26 janvier 2026</w:t>
        </w:r>
        <w:r w:rsidR="00BB583F" w:rsidRPr="00154B5C">
          <w:rPr>
            <w:rStyle w:val="Lienhypertexte"/>
            <w:i/>
            <w:color w:val="auto"/>
          </w:rPr>
          <w:t xml:space="preserve"> relatif à l'agrément de la société BUREAU VERITAS EXPLOITATION en application de l'article R. 446-16-9 du code de l'énergie</w:t>
        </w:r>
        <w:r w:rsidRPr="00154B5C">
          <w:rPr>
            <w:rStyle w:val="Lienhypertexte"/>
            <w:i/>
            <w:color w:val="auto"/>
          </w:rPr>
          <w:t>.</w:t>
        </w:r>
      </w:hyperlink>
    </w:p>
    <w:p w:rsidR="00347591" w:rsidRDefault="00347591" w:rsidP="00EE444C">
      <w:pPr>
        <w:pStyle w:val="Textebrut"/>
      </w:pPr>
    </w:p>
    <w:p w:rsidR="000E6286" w:rsidRPr="000E6286" w:rsidRDefault="000E6286" w:rsidP="000E6286">
      <w:pPr>
        <w:jc w:val="both"/>
      </w:pPr>
    </w:p>
    <w:p w:rsidR="00717478" w:rsidRDefault="00717478" w:rsidP="00FF1864">
      <w:pPr>
        <w:pStyle w:val="Textebrut"/>
        <w:jc w:val="both"/>
      </w:pPr>
    </w:p>
    <w:p w:rsidR="00EF29B5" w:rsidRPr="00EF29B5" w:rsidRDefault="00EF29B5" w:rsidP="00EF29B5">
      <w:pPr>
        <w:pStyle w:val="Titre1"/>
      </w:pPr>
      <w:bookmarkStart w:id="4" w:name="_Toc221008434"/>
      <w:r w:rsidRPr="00EF29B5">
        <w:t>Certificats d’économies d’énergie</w:t>
      </w:r>
      <w:bookmarkEnd w:id="4"/>
    </w:p>
    <w:p w:rsidR="00EF29B5" w:rsidRDefault="00EF29B5" w:rsidP="00EF29B5">
      <w:pPr>
        <w:jc w:val="both"/>
      </w:pPr>
    </w:p>
    <w:p w:rsidR="00244B9D" w:rsidRPr="00244B9D" w:rsidRDefault="00244B9D" w:rsidP="00AB09E6">
      <w:pPr>
        <w:pBdr>
          <w:left w:val="single" w:sz="4" w:space="4" w:color="auto"/>
        </w:pBdr>
        <w:jc w:val="both"/>
        <w:rPr>
          <w:b/>
        </w:rPr>
      </w:pPr>
      <w:r w:rsidRPr="00244B9D">
        <w:rPr>
          <w:b/>
        </w:rPr>
        <w:sym w:font="Wingdings" w:char="F0E8"/>
      </w:r>
      <w:r w:rsidRPr="00244B9D">
        <w:rPr>
          <w:b/>
        </w:rPr>
        <w:t xml:space="preserve"> Modification de fiches d’opérations standardisées</w:t>
      </w:r>
    </w:p>
    <w:p w:rsidR="00244B9D" w:rsidRDefault="00244B9D" w:rsidP="00AB09E6">
      <w:pPr>
        <w:pBdr>
          <w:left w:val="single" w:sz="4" w:space="4" w:color="auto"/>
        </w:pBdr>
        <w:jc w:val="both"/>
      </w:pPr>
    </w:p>
    <w:p w:rsidR="00244B9D" w:rsidRDefault="00244B9D" w:rsidP="00AB09E6">
      <w:pPr>
        <w:pBdr>
          <w:left w:val="single" w:sz="4" w:space="4" w:color="auto"/>
        </w:pBdr>
        <w:jc w:val="both"/>
      </w:pPr>
      <w:r>
        <w:t>Le présent arrêté modifie les fiches d’opérations standardisées :</w:t>
      </w:r>
    </w:p>
    <w:p w:rsidR="00244B9D" w:rsidRDefault="00244B9D" w:rsidP="00AB09E6">
      <w:pPr>
        <w:pBdr>
          <w:left w:val="single" w:sz="4" w:space="4" w:color="auto"/>
        </w:pBdr>
        <w:jc w:val="both"/>
      </w:pPr>
    </w:p>
    <w:p w:rsidR="00244B9D" w:rsidRDefault="00244B9D" w:rsidP="00AB09E6">
      <w:pPr>
        <w:pStyle w:val="Paragraphedeliste"/>
        <w:numPr>
          <w:ilvl w:val="0"/>
          <w:numId w:val="7"/>
        </w:numPr>
        <w:pBdr>
          <w:left w:val="single" w:sz="4" w:space="4" w:color="auto"/>
        </w:pBdr>
        <w:jc w:val="both"/>
      </w:pPr>
      <w:r w:rsidRPr="00244B9D">
        <w:rPr>
          <w:b/>
        </w:rPr>
        <w:t>BAR-TH-174</w:t>
      </w:r>
      <w:r>
        <w:t xml:space="preserve"> - Rénovation d’ampleur d’une maison individuelle (France métropolitaine) ;</w:t>
      </w:r>
    </w:p>
    <w:p w:rsidR="00244B9D" w:rsidRDefault="00244B9D" w:rsidP="00AB09E6">
      <w:pPr>
        <w:pStyle w:val="Paragraphedeliste"/>
        <w:numPr>
          <w:ilvl w:val="0"/>
          <w:numId w:val="7"/>
        </w:numPr>
        <w:pBdr>
          <w:left w:val="single" w:sz="4" w:space="4" w:color="auto"/>
        </w:pBdr>
        <w:jc w:val="both"/>
      </w:pPr>
      <w:r w:rsidRPr="00244B9D">
        <w:rPr>
          <w:b/>
        </w:rPr>
        <w:t>BAR-TH-175</w:t>
      </w:r>
      <w:r>
        <w:t xml:space="preserve"> - Rénovation d’ampleur d’un appartement individuel (France métropolitaine) ;</w:t>
      </w:r>
    </w:p>
    <w:p w:rsidR="00244B9D" w:rsidRDefault="00244B9D" w:rsidP="00AB09E6">
      <w:pPr>
        <w:pStyle w:val="Paragraphedeliste"/>
        <w:numPr>
          <w:ilvl w:val="0"/>
          <w:numId w:val="7"/>
        </w:numPr>
        <w:pBdr>
          <w:left w:val="single" w:sz="4" w:space="4" w:color="auto"/>
        </w:pBdr>
        <w:jc w:val="both"/>
      </w:pPr>
      <w:r w:rsidRPr="00244B9D">
        <w:rPr>
          <w:b/>
        </w:rPr>
        <w:t>BAR-TH-177</w:t>
      </w:r>
      <w:r>
        <w:t xml:space="preserve"> - Rénovation globale d’un bâtiment résidentiel collectif (France métropolitaine).</w:t>
      </w:r>
    </w:p>
    <w:p w:rsidR="00244B9D" w:rsidRDefault="00244B9D" w:rsidP="00AB09E6">
      <w:pPr>
        <w:pBdr>
          <w:left w:val="single" w:sz="4" w:space="4" w:color="auto"/>
        </w:pBdr>
        <w:jc w:val="both"/>
      </w:pPr>
    </w:p>
    <w:p w:rsidR="00244B9D" w:rsidRDefault="00244B9D" w:rsidP="00AB09E6">
      <w:pPr>
        <w:pBdr>
          <w:left w:val="single" w:sz="4" w:space="4" w:color="auto"/>
        </w:pBdr>
        <w:jc w:val="both"/>
      </w:pPr>
      <w:r>
        <w:t>Il prolonge les bonifications Coup de pouce « Rénovation d’ampleur d’une maison ou d’un appartement individuel » et Coup de pouce « Rénovation performante d’un bâtiment résidentiel collectif » associées à ces fiches.</w:t>
      </w:r>
    </w:p>
    <w:p w:rsidR="00244B9D" w:rsidRDefault="00244B9D" w:rsidP="00AB09E6">
      <w:pPr>
        <w:pBdr>
          <w:left w:val="single" w:sz="4" w:space="4" w:color="auto"/>
        </w:pBdr>
        <w:jc w:val="both"/>
      </w:pPr>
    </w:p>
    <w:p w:rsidR="00244B9D" w:rsidRPr="00244B9D" w:rsidRDefault="00747E03" w:rsidP="00AB09E6">
      <w:pPr>
        <w:pStyle w:val="Textebrut"/>
        <w:pBdr>
          <w:left w:val="single" w:sz="4" w:space="4" w:color="auto"/>
        </w:pBdr>
        <w:jc w:val="both"/>
        <w:rPr>
          <w:i/>
        </w:rPr>
      </w:pPr>
      <w:hyperlink r:id="rId12" w:history="1">
        <w:r w:rsidR="00244B9D" w:rsidRPr="00244B9D">
          <w:rPr>
            <w:rStyle w:val="Lienhypertexte"/>
            <w:b/>
            <w:i/>
            <w:color w:val="auto"/>
          </w:rPr>
          <w:t>Arrêté du 7 janvier 2026</w:t>
        </w:r>
        <w:r w:rsidR="00244B9D" w:rsidRPr="00244B9D">
          <w:rPr>
            <w:rStyle w:val="Lienhypertexte"/>
            <w:i/>
            <w:color w:val="auto"/>
          </w:rPr>
          <w:t xml:space="preserve"> modifiant les fiches BAR-TH-174, BAR-TH-175 et BAR-TH-177 et prolongeant les bonifications Coup de pouce « Rénovation d'ampleur d'une maison ou d'un appartement individuel » et Coup de pouce « Rénovation performante d'un bâtiment résidentiel collectif ».</w:t>
        </w:r>
      </w:hyperlink>
    </w:p>
    <w:p w:rsidR="00244B9D" w:rsidRDefault="00244B9D" w:rsidP="00EF29B5">
      <w:pPr>
        <w:jc w:val="both"/>
      </w:pPr>
    </w:p>
    <w:p w:rsidR="00244B9D" w:rsidRDefault="00244B9D" w:rsidP="00EF29B5">
      <w:pPr>
        <w:jc w:val="both"/>
      </w:pPr>
    </w:p>
    <w:p w:rsidR="00DB56D9" w:rsidRDefault="00DB56D9" w:rsidP="00EF29B5">
      <w:pPr>
        <w:jc w:val="both"/>
      </w:pPr>
    </w:p>
    <w:p w:rsidR="00DB56D9" w:rsidRDefault="00DB56D9" w:rsidP="00DB56D9">
      <w:pPr>
        <w:pStyle w:val="Titre1"/>
      </w:pPr>
      <w:bookmarkStart w:id="5" w:name="_Hlk220943897"/>
      <w:bookmarkStart w:id="6" w:name="_Toc221008435"/>
      <w:r>
        <w:t>Changement climatique</w:t>
      </w:r>
      <w:bookmarkEnd w:id="6"/>
    </w:p>
    <w:bookmarkEnd w:id="5"/>
    <w:p w:rsidR="00DB56D9" w:rsidRDefault="00DB56D9" w:rsidP="00DB56D9">
      <w:pPr>
        <w:pStyle w:val="Textebrut"/>
        <w:jc w:val="both"/>
      </w:pPr>
    </w:p>
    <w:p w:rsidR="00DB56D9" w:rsidRPr="004A793A" w:rsidRDefault="00DB56D9" w:rsidP="00DB56D9">
      <w:pPr>
        <w:pStyle w:val="Textebrut"/>
        <w:pBdr>
          <w:left w:val="single" w:sz="4" w:space="4" w:color="auto"/>
        </w:pBdr>
        <w:jc w:val="both"/>
        <w:rPr>
          <w:b/>
        </w:rPr>
      </w:pPr>
      <w:r w:rsidRPr="004A793A">
        <w:rPr>
          <w:b/>
        </w:rPr>
        <w:sym w:font="Wingdings" w:char="F0E8"/>
      </w:r>
      <w:r w:rsidRPr="004A793A">
        <w:rPr>
          <w:b/>
        </w:rPr>
        <w:t xml:space="preserve"> Définition de la trajectoire de réchauffement de référence pour l’adaptation au changement climatique</w:t>
      </w: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</w:p>
    <w:p w:rsidR="00DB56D9" w:rsidRPr="008175AC" w:rsidRDefault="00DB56D9" w:rsidP="00DB56D9">
      <w:pPr>
        <w:pStyle w:val="Textebrut"/>
        <w:pBdr>
          <w:left w:val="single" w:sz="4" w:space="4" w:color="auto"/>
        </w:pBdr>
        <w:rPr>
          <w:i/>
        </w:rPr>
      </w:pPr>
      <w:hyperlink r:id="rId13" w:history="1">
        <w:r w:rsidRPr="008175AC">
          <w:rPr>
            <w:rStyle w:val="Lienhypertexte"/>
            <w:b/>
            <w:i/>
            <w:color w:val="auto"/>
          </w:rPr>
          <w:t>Décret n° 2026-23 du 23 janvier 2026</w:t>
        </w:r>
        <w:r w:rsidRPr="008175AC">
          <w:rPr>
            <w:rStyle w:val="Lienhypertexte"/>
            <w:i/>
            <w:color w:val="auto"/>
          </w:rPr>
          <w:t xml:space="preserve"> relatif à la trajectoire de réchauffement de référence pour l'adaptation au changement climatique.</w:t>
        </w:r>
      </w:hyperlink>
    </w:p>
    <w:p w:rsidR="00DB56D9" w:rsidRDefault="00DB56D9" w:rsidP="00DB56D9">
      <w:pPr>
        <w:pStyle w:val="Textebrut"/>
        <w:jc w:val="both"/>
      </w:pPr>
    </w:p>
    <w:p w:rsidR="00DB56D9" w:rsidRDefault="00DB56D9" w:rsidP="00DB56D9">
      <w:pPr>
        <w:pStyle w:val="Textebrut"/>
        <w:jc w:val="both"/>
      </w:pPr>
    </w:p>
    <w:p w:rsidR="00DB56D9" w:rsidRDefault="00DB56D9" w:rsidP="00DB56D9">
      <w:pPr>
        <w:pStyle w:val="Textebrut"/>
        <w:jc w:val="both"/>
      </w:pPr>
    </w:p>
    <w:p w:rsidR="00DB56D9" w:rsidRPr="00C412AD" w:rsidRDefault="00DB56D9" w:rsidP="00DB56D9">
      <w:pPr>
        <w:pStyle w:val="Textebrut"/>
        <w:pBdr>
          <w:left w:val="single" w:sz="4" w:space="4" w:color="auto"/>
        </w:pBdr>
        <w:jc w:val="both"/>
        <w:rPr>
          <w:b/>
        </w:rPr>
      </w:pPr>
      <w:r w:rsidRPr="00C412AD">
        <w:rPr>
          <w:b/>
        </w:rPr>
        <w:sym w:font="Wingdings" w:char="F0E8"/>
      </w:r>
      <w:r w:rsidRPr="00C412AD">
        <w:rPr>
          <w:b/>
        </w:rPr>
        <w:t xml:space="preserve"> Fixation des niveaux de réchauffement de la trajectoire de référence pour l’adaptation au changement climatique</w:t>
      </w: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  <w:r>
        <w:t xml:space="preserve">La trajectoire de réchauffement de référence pour l’adaptation au changement climatique mentionnée à l’article R. 229-1 du code de l’environnement est définie par les niveaux de réchauffement suivants par rapport à l’ère préindustrielle : </w:t>
      </w: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  <w:r>
        <w:t xml:space="preserve">I. – Pour la France métropolitaine, réchauffement de 2 °C à l’horizon 2030, réchauffement de 2,7 °C à l’horizon 2050, réchauffement de 4 °C à l’horizon 2100. </w:t>
      </w: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  <w:r>
        <w:t xml:space="preserve">II. – Pour la Guadeloupe, la Martinique, Saint-Martin, réchauffement de 1,4 °C à l’horizon 2030, réchauffement de 1,9 °C à l’horizon 2050, réchauffement de 2,7 °C à l’horizon 2100. </w:t>
      </w: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  <w:r>
        <w:t xml:space="preserve">III. – Pour la Guyane, réchauffement de 1,7 °C à l’horizon 2030, réchauffement de 2,3 °C à l’horizon 2050, réchauffement de 3,5 °C à l’horizon 2100. </w:t>
      </w: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  <w:r>
        <w:t xml:space="preserve">IV. – Pour La Réunion, réchauffement de 1,5 °C à l’horizon 2030, réchauffement de 2 °C à l’horizon 2050, réchauffement de 2,9 °C à l’horizon 2100. </w:t>
      </w: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  <w:r>
        <w:t xml:space="preserve">V. – Pour Mayotte, réchauffement de 1,5 °C à l’horizon 2030, réchauffement de 2 °C à l’horizon 2050, réchauffement de 3 °C à l’horizon 2100. </w:t>
      </w: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  <w:r>
        <w:t xml:space="preserve">Ces niveaux de réchauffement correspondent à un réchauffement mondial de 1,5 °C à l’horizon 2030, de 2 °C à l’horizon 2050 et de 3 °C à l’horizon 2100. </w:t>
      </w: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  <w:r>
        <w:t xml:space="preserve">Pour Saint-Barthélemy, ces niveaux de réchauffement correspondent à ceux de la Guadeloupe, de la Martinique et de Saint-Martin. </w:t>
      </w: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  <w:r>
        <w:t xml:space="preserve">Pour la Nouvelle-Calédonie, ces niveaux de réchauffement correspondent à un réchauffement de 1,5 °C à l’horizon 2030, réchauffement de 2 °C à l’horizon 2050, réchauffement de 3 °C à l’horizon 2100. </w:t>
      </w: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  <w:r>
        <w:t>Pour la Polynésie française, ces niveaux de réchauffement correspondent à un réchauffement de 1,2 °C à l’horizon 2030, réchauffement de 1,6 °C à l’horizon 2050, réchauffement de 2,3 °C à l’horizon 2100.</w:t>
      </w:r>
    </w:p>
    <w:p w:rsidR="00DB56D9" w:rsidRDefault="00DB56D9" w:rsidP="00DB56D9">
      <w:pPr>
        <w:pStyle w:val="Textebrut"/>
        <w:pBdr>
          <w:left w:val="single" w:sz="4" w:space="4" w:color="auto"/>
        </w:pBdr>
        <w:jc w:val="both"/>
      </w:pPr>
    </w:p>
    <w:p w:rsidR="00DB56D9" w:rsidRPr="00C42469" w:rsidRDefault="00DB56D9" w:rsidP="00DB56D9">
      <w:pPr>
        <w:pStyle w:val="Textebrut"/>
        <w:pBdr>
          <w:left w:val="single" w:sz="4" w:space="4" w:color="auto"/>
        </w:pBdr>
        <w:rPr>
          <w:i/>
        </w:rPr>
      </w:pPr>
      <w:hyperlink r:id="rId14" w:history="1">
        <w:r w:rsidRPr="00C42469">
          <w:rPr>
            <w:rStyle w:val="Lienhypertexte"/>
            <w:b/>
            <w:i/>
            <w:color w:val="auto"/>
          </w:rPr>
          <w:t>Arrêté du 23 janvier 2026</w:t>
        </w:r>
        <w:r w:rsidRPr="00C42469">
          <w:rPr>
            <w:rStyle w:val="Lienhypertexte"/>
            <w:i/>
            <w:color w:val="auto"/>
          </w:rPr>
          <w:t xml:space="preserve"> fixant la trajectoire de réchauffement de référence pour l'adaptation au changement climatique.</w:t>
        </w:r>
      </w:hyperlink>
    </w:p>
    <w:p w:rsidR="00DB56D9" w:rsidRDefault="00DB56D9" w:rsidP="00EF29B5">
      <w:pPr>
        <w:jc w:val="both"/>
      </w:pPr>
    </w:p>
    <w:p w:rsidR="00DB56D9" w:rsidRDefault="00DB56D9" w:rsidP="00EF29B5">
      <w:pPr>
        <w:jc w:val="both"/>
      </w:pPr>
    </w:p>
    <w:p w:rsidR="00DB56D9" w:rsidRPr="00EF29B5" w:rsidRDefault="00DB56D9" w:rsidP="00EF29B5">
      <w:pPr>
        <w:jc w:val="both"/>
      </w:pPr>
    </w:p>
    <w:p w:rsidR="004754A1" w:rsidRDefault="004754A1" w:rsidP="004754A1">
      <w:pPr>
        <w:pStyle w:val="Titre1"/>
      </w:pPr>
      <w:bookmarkStart w:id="7" w:name="_Toc221008436"/>
      <w:r>
        <w:t>Convention collective</w:t>
      </w:r>
      <w:bookmarkEnd w:id="7"/>
    </w:p>
    <w:p w:rsidR="00FE620C" w:rsidRDefault="00FE620C" w:rsidP="00FF1864">
      <w:pPr>
        <w:jc w:val="both"/>
      </w:pPr>
    </w:p>
    <w:p w:rsidR="007253C6" w:rsidRPr="007253C6" w:rsidRDefault="007253C6" w:rsidP="007253C6">
      <w:pPr>
        <w:pBdr>
          <w:left w:val="single" w:sz="4" w:space="4" w:color="auto"/>
        </w:pBdr>
        <w:jc w:val="both"/>
        <w:rPr>
          <w:b/>
        </w:rPr>
      </w:pPr>
      <w:r w:rsidRPr="007253C6">
        <w:rPr>
          <w:b/>
        </w:rPr>
        <w:sym w:font="Wingdings" w:char="F0E8"/>
      </w:r>
      <w:r w:rsidRPr="007253C6">
        <w:rPr>
          <w:b/>
        </w:rPr>
        <w:t xml:space="preserve"> Liste des organisations professionnelles d’employeurs reconnues représentatives dans la convention collective nationale des bureaux d’études techniques, des cabinets d’ingénieurs-conseils et des sociétés de conseils</w:t>
      </w:r>
    </w:p>
    <w:p w:rsidR="007253C6" w:rsidRDefault="007253C6" w:rsidP="007253C6">
      <w:pPr>
        <w:pBdr>
          <w:left w:val="single" w:sz="4" w:space="4" w:color="auto"/>
        </w:pBdr>
        <w:jc w:val="both"/>
      </w:pPr>
    </w:p>
    <w:p w:rsidR="007253C6" w:rsidRDefault="007253C6" w:rsidP="007253C6">
      <w:pPr>
        <w:pBdr>
          <w:left w:val="single" w:sz="4" w:space="4" w:color="auto"/>
        </w:pBdr>
        <w:jc w:val="both"/>
      </w:pPr>
      <w:r>
        <w:t>Sont reconnues représentatives dans la convention collective nationale des bureaux d’études techniques, des cabinets d’ingénieurs-conseils et des sociétés de conseils (IDCC no 1486), les organisations professionnelles d’employeurs suivantes :</w:t>
      </w:r>
    </w:p>
    <w:p w:rsidR="007253C6" w:rsidRDefault="007253C6" w:rsidP="007253C6">
      <w:pPr>
        <w:pStyle w:val="Paragraphedeliste"/>
        <w:numPr>
          <w:ilvl w:val="0"/>
          <w:numId w:val="5"/>
        </w:numPr>
        <w:pBdr>
          <w:left w:val="single" w:sz="4" w:space="4" w:color="auto"/>
        </w:pBdr>
        <w:jc w:val="both"/>
      </w:pPr>
      <w:r>
        <w:t>Fédération Syntec (FEDE SYNTEC) ;</w:t>
      </w:r>
    </w:p>
    <w:p w:rsidR="007253C6" w:rsidRDefault="007253C6" w:rsidP="007253C6">
      <w:pPr>
        <w:pStyle w:val="Paragraphedeliste"/>
        <w:numPr>
          <w:ilvl w:val="0"/>
          <w:numId w:val="5"/>
        </w:numPr>
        <w:pBdr>
          <w:left w:val="single" w:sz="4" w:space="4" w:color="auto"/>
        </w:pBdr>
        <w:jc w:val="both"/>
      </w:pPr>
      <w:r>
        <w:t>Fédération des Syndicats des métiers de la prestation intellectuelle du Conseil de l’Ingénierie et du Numérique (CINOV).</w:t>
      </w:r>
    </w:p>
    <w:p w:rsidR="007253C6" w:rsidRDefault="007253C6" w:rsidP="007253C6">
      <w:pPr>
        <w:pBdr>
          <w:left w:val="single" w:sz="4" w:space="4" w:color="auto"/>
        </w:pBdr>
        <w:jc w:val="both"/>
      </w:pPr>
    </w:p>
    <w:p w:rsidR="007253C6" w:rsidRPr="007253C6" w:rsidRDefault="00747E03" w:rsidP="007253C6">
      <w:pPr>
        <w:pBdr>
          <w:left w:val="single" w:sz="4" w:space="4" w:color="auto"/>
        </w:pBdr>
        <w:jc w:val="both"/>
        <w:rPr>
          <w:i/>
        </w:rPr>
      </w:pPr>
      <w:hyperlink r:id="rId15" w:history="1">
        <w:r w:rsidR="007253C6" w:rsidRPr="007253C6">
          <w:rPr>
            <w:rStyle w:val="Lienhypertexte"/>
            <w:b/>
            <w:i/>
            <w:color w:val="auto"/>
          </w:rPr>
          <w:t xml:space="preserve">Arrêté du 27 novembre 2025 </w:t>
        </w:r>
        <w:r w:rsidR="007253C6" w:rsidRPr="007253C6">
          <w:rPr>
            <w:rStyle w:val="Lienhypertexte"/>
            <w:i/>
            <w:color w:val="auto"/>
          </w:rPr>
          <w:t>fixant la liste des organisations professionnelles d'employeurs reconnues représentatives dans la convention collective nationale des bureaux d'études techniques, des cabinets d'ingénieurs-conseils et des sociétés de conseils (IDCC n° 1486).</w:t>
        </w:r>
      </w:hyperlink>
    </w:p>
    <w:p w:rsidR="004754A1" w:rsidRDefault="004754A1" w:rsidP="007253C6">
      <w:pPr>
        <w:jc w:val="both"/>
      </w:pPr>
    </w:p>
    <w:p w:rsidR="007253C6" w:rsidRDefault="007253C6" w:rsidP="007253C6">
      <w:pPr>
        <w:jc w:val="both"/>
      </w:pPr>
    </w:p>
    <w:p w:rsidR="009C6F36" w:rsidRDefault="009C6F36" w:rsidP="007253C6">
      <w:pPr>
        <w:jc w:val="both"/>
      </w:pPr>
    </w:p>
    <w:p w:rsidR="009C6F36" w:rsidRPr="00083838" w:rsidRDefault="009C6F36" w:rsidP="0065779C">
      <w:pPr>
        <w:pBdr>
          <w:left w:val="single" w:sz="4" w:space="4" w:color="auto"/>
        </w:pBdr>
        <w:jc w:val="both"/>
        <w:rPr>
          <w:b/>
        </w:rPr>
      </w:pPr>
      <w:r w:rsidRPr="00083838">
        <w:rPr>
          <w:b/>
        </w:rPr>
        <w:lastRenderedPageBreak/>
        <w:sym w:font="Wingdings" w:char="F0E8"/>
      </w:r>
      <w:r w:rsidRPr="00083838">
        <w:rPr>
          <w:b/>
        </w:rPr>
        <w:t xml:space="preserve"> </w:t>
      </w:r>
      <w:r w:rsidR="00083838" w:rsidRPr="00083838">
        <w:rPr>
          <w:b/>
        </w:rPr>
        <w:t>Liste des organisations syndicales reconnues représentatives dans la convention collective nationale des bureaux d’études techniques, des cabinets d’ingénieurs-conseils et des sociétés de conseils</w:t>
      </w:r>
    </w:p>
    <w:p w:rsidR="007253C6" w:rsidRDefault="007253C6" w:rsidP="0065779C">
      <w:pPr>
        <w:pBdr>
          <w:left w:val="single" w:sz="4" w:space="4" w:color="auto"/>
        </w:pBdr>
        <w:jc w:val="both"/>
      </w:pPr>
    </w:p>
    <w:p w:rsidR="00083838" w:rsidRDefault="00083838" w:rsidP="0065779C">
      <w:pPr>
        <w:pBdr>
          <w:left w:val="single" w:sz="4" w:space="4" w:color="auto"/>
        </w:pBdr>
        <w:jc w:val="both"/>
      </w:pPr>
      <w:r>
        <w:t>Sont reconnues représentatives dans la convention collective nationale des bureaux d’études techniques, des cabinets d’ingénieurs-conseils et des sociétés de conseils (IDCC no 1486), les organisations syndicales suivantes :</w:t>
      </w:r>
    </w:p>
    <w:p w:rsidR="00083838" w:rsidRDefault="00083838" w:rsidP="0065779C">
      <w:pPr>
        <w:pStyle w:val="Paragraphedeliste"/>
        <w:numPr>
          <w:ilvl w:val="0"/>
          <w:numId w:val="6"/>
        </w:numPr>
        <w:pBdr>
          <w:left w:val="single" w:sz="4" w:space="4" w:color="auto"/>
        </w:pBdr>
        <w:jc w:val="both"/>
      </w:pPr>
      <w:proofErr w:type="gramStart"/>
      <w:r>
        <w:t>la</w:t>
      </w:r>
      <w:proofErr w:type="gramEnd"/>
      <w:r>
        <w:t xml:space="preserve"> Confédération française démocratique du travail (CFDT) ;</w:t>
      </w:r>
    </w:p>
    <w:p w:rsidR="00083838" w:rsidRDefault="00083838" w:rsidP="0065779C">
      <w:pPr>
        <w:pStyle w:val="Paragraphedeliste"/>
        <w:numPr>
          <w:ilvl w:val="0"/>
          <w:numId w:val="6"/>
        </w:numPr>
        <w:pBdr>
          <w:left w:val="single" w:sz="4" w:space="4" w:color="auto"/>
        </w:pBdr>
        <w:jc w:val="both"/>
      </w:pPr>
      <w:proofErr w:type="gramStart"/>
      <w:r>
        <w:t>la</w:t>
      </w:r>
      <w:proofErr w:type="gramEnd"/>
      <w:r>
        <w:t xml:space="preserve"> Confédération française de l’encadrement-Confédération générale des cadres (CFE-CGC) ;</w:t>
      </w:r>
    </w:p>
    <w:p w:rsidR="00083838" w:rsidRDefault="00083838" w:rsidP="0065779C">
      <w:pPr>
        <w:pStyle w:val="Paragraphedeliste"/>
        <w:numPr>
          <w:ilvl w:val="0"/>
          <w:numId w:val="6"/>
        </w:numPr>
        <w:pBdr>
          <w:left w:val="single" w:sz="4" w:space="4" w:color="auto"/>
        </w:pBdr>
        <w:jc w:val="both"/>
      </w:pPr>
      <w:proofErr w:type="gramStart"/>
      <w:r>
        <w:t>la</w:t>
      </w:r>
      <w:proofErr w:type="gramEnd"/>
      <w:r>
        <w:t xml:space="preserve"> Confédération générale du travail (CGT) ;</w:t>
      </w:r>
    </w:p>
    <w:p w:rsidR="00083838" w:rsidRDefault="00083838" w:rsidP="0065779C">
      <w:pPr>
        <w:pStyle w:val="Paragraphedeliste"/>
        <w:numPr>
          <w:ilvl w:val="0"/>
          <w:numId w:val="6"/>
        </w:numPr>
        <w:pBdr>
          <w:left w:val="single" w:sz="4" w:space="4" w:color="auto"/>
        </w:pBdr>
        <w:jc w:val="both"/>
      </w:pPr>
      <w:proofErr w:type="gramStart"/>
      <w:r>
        <w:t>la</w:t>
      </w:r>
      <w:proofErr w:type="gramEnd"/>
      <w:r>
        <w:t xml:space="preserve"> Confédération française des travailleurs chrétiens (CFTC).</w:t>
      </w:r>
    </w:p>
    <w:p w:rsidR="00083838" w:rsidRDefault="00083838" w:rsidP="0065779C">
      <w:pPr>
        <w:pBdr>
          <w:left w:val="single" w:sz="4" w:space="4" w:color="auto"/>
        </w:pBdr>
        <w:jc w:val="both"/>
      </w:pPr>
    </w:p>
    <w:p w:rsidR="009C6F36" w:rsidRPr="009C6F36" w:rsidRDefault="00747E03" w:rsidP="0065779C">
      <w:pPr>
        <w:pStyle w:val="Textebrut"/>
        <w:pBdr>
          <w:left w:val="single" w:sz="4" w:space="4" w:color="auto"/>
        </w:pBdr>
        <w:jc w:val="both"/>
        <w:rPr>
          <w:i/>
        </w:rPr>
      </w:pPr>
      <w:hyperlink r:id="rId16" w:history="1">
        <w:r w:rsidR="009C6F36" w:rsidRPr="009C6F36">
          <w:rPr>
            <w:rStyle w:val="Lienhypertexte"/>
            <w:b/>
            <w:i/>
            <w:color w:val="auto"/>
          </w:rPr>
          <w:t>Arrêté du 23 décembre 2025</w:t>
        </w:r>
        <w:r w:rsidR="009C6F36" w:rsidRPr="009C6F36">
          <w:rPr>
            <w:rStyle w:val="Lienhypertexte"/>
            <w:i/>
            <w:color w:val="auto"/>
          </w:rPr>
          <w:t xml:space="preserve"> fixant la liste des organisations syndicales reconnues représentatives dans la convention collective nationale des bureaux d'études techniques, des cabinets d'ingénieurs-conseils et des sociétés de conseils (IDCC n° 1486).</w:t>
        </w:r>
      </w:hyperlink>
    </w:p>
    <w:p w:rsidR="007253C6" w:rsidRDefault="007253C6" w:rsidP="009C6F36">
      <w:pPr>
        <w:jc w:val="both"/>
      </w:pPr>
    </w:p>
    <w:p w:rsidR="007253C6" w:rsidRDefault="007253C6" w:rsidP="007253C6">
      <w:pPr>
        <w:jc w:val="both"/>
      </w:pPr>
    </w:p>
    <w:p w:rsidR="005D1CB7" w:rsidRDefault="005D1CB7" w:rsidP="007253C6">
      <w:pPr>
        <w:jc w:val="both"/>
      </w:pPr>
    </w:p>
    <w:p w:rsidR="00AD0386" w:rsidRDefault="00AD0386" w:rsidP="00AD0386">
      <w:pPr>
        <w:pStyle w:val="Titre1"/>
      </w:pPr>
      <w:bookmarkStart w:id="8" w:name="_Toc221008437"/>
      <w:r>
        <w:t>E</w:t>
      </w:r>
      <w:r>
        <w:t>au</w:t>
      </w:r>
      <w:bookmarkStart w:id="9" w:name="_GoBack"/>
      <w:bookmarkEnd w:id="8"/>
      <w:bookmarkEnd w:id="9"/>
    </w:p>
    <w:p w:rsidR="00AD0386" w:rsidRDefault="00AD0386" w:rsidP="00AD0386"/>
    <w:p w:rsidR="00071CA8" w:rsidRPr="00071CA8" w:rsidRDefault="00071CA8" w:rsidP="00071CA8">
      <w:pPr>
        <w:pBdr>
          <w:left w:val="single" w:sz="4" w:space="4" w:color="auto"/>
        </w:pBdr>
        <w:jc w:val="both"/>
        <w:rPr>
          <w:b/>
        </w:rPr>
      </w:pPr>
      <w:r w:rsidRPr="00071CA8">
        <w:rPr>
          <w:b/>
        </w:rPr>
        <w:sym w:font="Wingdings" w:char="F0E8"/>
      </w:r>
      <w:r w:rsidRPr="00071CA8">
        <w:rPr>
          <w:b/>
        </w:rPr>
        <w:t xml:space="preserve"> E</w:t>
      </w:r>
      <w:r w:rsidRPr="00071CA8">
        <w:rPr>
          <w:b/>
        </w:rPr>
        <w:t xml:space="preserve">xercice du contrôle économique et financier de l’Etat sur l’association </w:t>
      </w:r>
      <w:r w:rsidRPr="00071CA8">
        <w:rPr>
          <w:b/>
          <w:i/>
        </w:rPr>
        <w:t xml:space="preserve">CEDRE </w:t>
      </w:r>
      <w:r w:rsidRPr="00071CA8">
        <w:rPr>
          <w:b/>
          <w:i/>
        </w:rPr>
        <w:t>Centre de recherche, de documentation et d’expérimentation sur les pollutions accidentelles des eaux</w:t>
      </w:r>
    </w:p>
    <w:p w:rsidR="00071CA8" w:rsidRDefault="00071CA8" w:rsidP="00071CA8">
      <w:pPr>
        <w:pBdr>
          <w:left w:val="single" w:sz="4" w:space="4" w:color="auto"/>
        </w:pBdr>
      </w:pPr>
    </w:p>
    <w:p w:rsidR="00AD0386" w:rsidRPr="00AD0386" w:rsidRDefault="00AD0386" w:rsidP="00071CA8">
      <w:pPr>
        <w:pStyle w:val="Textebrut"/>
        <w:pBdr>
          <w:left w:val="single" w:sz="4" w:space="4" w:color="auto"/>
        </w:pBdr>
        <w:jc w:val="both"/>
        <w:rPr>
          <w:i/>
        </w:rPr>
      </w:pPr>
      <w:hyperlink r:id="rId17" w:history="1">
        <w:r w:rsidRPr="00AD0386">
          <w:rPr>
            <w:rStyle w:val="Lienhypertexte"/>
            <w:b/>
            <w:i/>
            <w:color w:val="auto"/>
          </w:rPr>
          <w:t>Décret n° 2026-20 du 22 janvier 2026</w:t>
        </w:r>
        <w:r w:rsidRPr="00AD0386">
          <w:rPr>
            <w:rStyle w:val="Lienhypertexte"/>
            <w:i/>
            <w:color w:val="auto"/>
          </w:rPr>
          <w:t xml:space="preserve"> portant soumission de l'association « Centre de recherche, de documentation et d'expérimentation sur les pollutions accidentelles des eaux » au contrôle économique et financier de l'Etat.</w:t>
        </w:r>
      </w:hyperlink>
    </w:p>
    <w:p w:rsidR="00AD0386" w:rsidRDefault="00AD0386" w:rsidP="00AD0386"/>
    <w:p w:rsidR="00D946CC" w:rsidRPr="00AD0386" w:rsidRDefault="00D946CC" w:rsidP="00AD0386"/>
    <w:p w:rsidR="00E71268" w:rsidRDefault="00E71268" w:rsidP="00FF1864">
      <w:pPr>
        <w:pStyle w:val="Textebrut"/>
        <w:jc w:val="both"/>
      </w:pPr>
    </w:p>
    <w:p w:rsidR="00183280" w:rsidRDefault="00183280" w:rsidP="00183280">
      <w:pPr>
        <w:pStyle w:val="Titre1"/>
      </w:pPr>
      <w:bookmarkStart w:id="10" w:name="_Toc221008438"/>
      <w:r>
        <w:t>Plan France 2030</w:t>
      </w:r>
      <w:bookmarkEnd w:id="10"/>
    </w:p>
    <w:p w:rsidR="00183280" w:rsidRDefault="00183280" w:rsidP="000E6286">
      <w:pPr>
        <w:pStyle w:val="Textebrut"/>
        <w:jc w:val="both"/>
      </w:pPr>
    </w:p>
    <w:p w:rsidR="00183280" w:rsidRPr="007E6CB3" w:rsidRDefault="00183280" w:rsidP="007E6CB3">
      <w:pPr>
        <w:pStyle w:val="Textebrut"/>
        <w:pBdr>
          <w:left w:val="single" w:sz="4" w:space="4" w:color="auto"/>
        </w:pBdr>
        <w:jc w:val="both"/>
        <w:rPr>
          <w:b/>
        </w:rPr>
      </w:pPr>
      <w:r w:rsidRPr="007E6CB3">
        <w:rPr>
          <w:b/>
        </w:rPr>
        <w:sym w:font="Wingdings" w:char="F0E8"/>
      </w:r>
      <w:r w:rsidRPr="007E6CB3">
        <w:rPr>
          <w:b/>
        </w:rPr>
        <w:t xml:space="preserve"> Approbation du cahier des charges de l’appel à projets « Première Usine » du plan France 2030</w:t>
      </w:r>
    </w:p>
    <w:p w:rsidR="00183280" w:rsidRDefault="00183280" w:rsidP="007E6CB3">
      <w:pPr>
        <w:pStyle w:val="Textebrut"/>
        <w:pBdr>
          <w:left w:val="single" w:sz="4" w:space="4" w:color="auto"/>
        </w:pBdr>
        <w:jc w:val="both"/>
      </w:pPr>
    </w:p>
    <w:p w:rsidR="007E6CB3" w:rsidRDefault="007E6CB3" w:rsidP="007E6CB3">
      <w:pPr>
        <w:pStyle w:val="Textebrut"/>
        <w:pBdr>
          <w:left w:val="single" w:sz="4" w:space="4" w:color="auto"/>
        </w:pBdr>
        <w:jc w:val="both"/>
      </w:pPr>
      <w:r>
        <w:t xml:space="preserve">Le cahier des charges de l’appel à projets « Première Usine » du plan France 2030, relatif à l’action « aides à l’innovation </w:t>
      </w:r>
      <w:proofErr w:type="spellStart"/>
      <w:r>
        <w:t>bottom</w:t>
      </w:r>
      <w:proofErr w:type="spellEnd"/>
      <w:r>
        <w:t xml:space="preserve">-up », volet « aides nationales », est approuvé et st consultable sur les sites internet de Bpifrance et du secrétariat général pour l’investissement : </w:t>
      </w:r>
      <w:hyperlink r:id="rId18" w:history="1">
        <w:r w:rsidR="004A793A" w:rsidRPr="0050737A">
          <w:rPr>
            <w:rStyle w:val="Lienhypertexte"/>
          </w:rPr>
          <w:t>https://www.info.gouv.fr/grand-dossier/france-2030/appels-a-candidatures</w:t>
        </w:r>
      </w:hyperlink>
      <w:r>
        <w:t>.</w:t>
      </w:r>
    </w:p>
    <w:p w:rsidR="007E6CB3" w:rsidRDefault="007E6CB3" w:rsidP="007E6CB3">
      <w:pPr>
        <w:pStyle w:val="Textebrut"/>
        <w:pBdr>
          <w:left w:val="single" w:sz="4" w:space="4" w:color="auto"/>
        </w:pBdr>
        <w:jc w:val="both"/>
      </w:pPr>
    </w:p>
    <w:p w:rsidR="00183280" w:rsidRPr="00183280" w:rsidRDefault="00747E03" w:rsidP="007E6CB3">
      <w:pPr>
        <w:pStyle w:val="Textebrut"/>
        <w:pBdr>
          <w:left w:val="single" w:sz="4" w:space="4" w:color="auto"/>
        </w:pBdr>
        <w:jc w:val="both"/>
        <w:rPr>
          <w:i/>
        </w:rPr>
      </w:pPr>
      <w:hyperlink r:id="rId19" w:history="1">
        <w:r w:rsidR="00183280" w:rsidRPr="00183280">
          <w:rPr>
            <w:rStyle w:val="Lienhypertexte"/>
            <w:b/>
            <w:i/>
            <w:color w:val="auto"/>
          </w:rPr>
          <w:t>Arrêté du 28 octobre 2025</w:t>
        </w:r>
        <w:r w:rsidR="00183280" w:rsidRPr="00183280">
          <w:rPr>
            <w:rStyle w:val="Lienhypertexte"/>
            <w:i/>
            <w:color w:val="auto"/>
          </w:rPr>
          <w:t xml:space="preserve"> relatif à l'approbation du cahier des charges de l'appel à projets « Première Usine ».</w:t>
        </w:r>
      </w:hyperlink>
    </w:p>
    <w:p w:rsidR="00183280" w:rsidRDefault="00183280" w:rsidP="00C06639">
      <w:pPr>
        <w:pStyle w:val="Textebrut"/>
        <w:jc w:val="both"/>
      </w:pPr>
    </w:p>
    <w:p w:rsidR="00183280" w:rsidRDefault="00183280" w:rsidP="00C06639">
      <w:pPr>
        <w:pStyle w:val="Textebrut"/>
        <w:jc w:val="both"/>
      </w:pPr>
    </w:p>
    <w:p w:rsidR="002E303C" w:rsidRDefault="002E303C" w:rsidP="00C06639">
      <w:pPr>
        <w:pStyle w:val="Textebrut"/>
        <w:jc w:val="both"/>
      </w:pPr>
    </w:p>
    <w:p w:rsidR="00C06639" w:rsidRPr="002E303C" w:rsidRDefault="00C06639" w:rsidP="002E303C">
      <w:pPr>
        <w:pStyle w:val="Textebrut"/>
        <w:pBdr>
          <w:left w:val="single" w:sz="4" w:space="4" w:color="auto"/>
        </w:pBdr>
        <w:jc w:val="both"/>
        <w:rPr>
          <w:b/>
        </w:rPr>
      </w:pPr>
      <w:r w:rsidRPr="002E303C">
        <w:rPr>
          <w:b/>
        </w:rPr>
        <w:sym w:font="Wingdings" w:char="F0E8"/>
      </w:r>
      <w:r w:rsidRPr="002E303C">
        <w:rPr>
          <w:b/>
        </w:rPr>
        <w:t xml:space="preserve"> </w:t>
      </w:r>
      <w:r w:rsidR="002E303C" w:rsidRPr="002E303C">
        <w:rPr>
          <w:b/>
        </w:rPr>
        <w:t>Modification de la convention entre l'Etat, l'ADEME, l'Agence nationale de la recherche, la Caisse des dépôts et consignations, l'EPIC Bpifrance et la société anonyme Bpifrance</w:t>
      </w:r>
    </w:p>
    <w:p w:rsidR="00C06639" w:rsidRDefault="00C06639" w:rsidP="002E303C">
      <w:pPr>
        <w:pStyle w:val="Textebrut"/>
        <w:pBdr>
          <w:left w:val="single" w:sz="4" w:space="4" w:color="auto"/>
        </w:pBdr>
        <w:jc w:val="both"/>
      </w:pPr>
    </w:p>
    <w:p w:rsidR="00C06639" w:rsidRDefault="00C06639" w:rsidP="002E303C">
      <w:pPr>
        <w:pStyle w:val="Textebrut"/>
        <w:pBdr>
          <w:left w:val="single" w:sz="4" w:space="4" w:color="auto"/>
        </w:pBdr>
        <w:jc w:val="both"/>
      </w:pPr>
      <w:r>
        <w:t xml:space="preserve">La présente convention a pour objectif de définir les dispositions communes des conventions entre l’Etat, les Opérateurs et les Gestionnaires qui vont être signées dans le cadre de la gestion des fonds versés à partir des programmes créés par la loi n°2020-1721 du 29 décembre 2020 de finances pour </w:t>
      </w:r>
      <w:r>
        <w:lastRenderedPageBreak/>
        <w:t xml:space="preserve">2021, au titre du quatrième programme d’investissements d’avenir et par la loi n°2021-1900 du 30 décembre 2021 de finances pour 2022, au titre du plan France 2030. </w:t>
      </w:r>
    </w:p>
    <w:p w:rsidR="00C06639" w:rsidRDefault="00C06639" w:rsidP="002E303C">
      <w:pPr>
        <w:pStyle w:val="Textebrut"/>
        <w:pBdr>
          <w:left w:val="single" w:sz="4" w:space="4" w:color="auto"/>
        </w:pBdr>
        <w:jc w:val="both"/>
      </w:pPr>
    </w:p>
    <w:p w:rsidR="00C06639" w:rsidRDefault="00C06639" w:rsidP="002E303C">
      <w:pPr>
        <w:pStyle w:val="Textebrut"/>
        <w:pBdr>
          <w:left w:val="single" w:sz="4" w:space="4" w:color="auto"/>
        </w:pBdr>
        <w:jc w:val="both"/>
      </w:pPr>
      <w:r>
        <w:t>Elle se substitue à la convention du 8 avril 2021 entre l’Etat, l’ADEME, l’Agence nationale de la recherche, la Caisse des dépôts et consignations, l’EPIC Bpifrance et la société anonyme Bpifrance encadrant les dispositions communes aux conventions relatives à la mise en œuvre du quatrième programme d’investissements d’avenir et du plan France 2030.</w:t>
      </w:r>
    </w:p>
    <w:p w:rsidR="00C06639" w:rsidRDefault="00C06639" w:rsidP="002E303C">
      <w:pPr>
        <w:pStyle w:val="Textebrut"/>
        <w:pBdr>
          <w:left w:val="single" w:sz="4" w:space="4" w:color="auto"/>
        </w:pBdr>
        <w:jc w:val="both"/>
      </w:pPr>
    </w:p>
    <w:p w:rsidR="00C06639" w:rsidRPr="00C06639" w:rsidRDefault="00747E03" w:rsidP="002E303C">
      <w:pPr>
        <w:pStyle w:val="Textebrut"/>
        <w:pBdr>
          <w:left w:val="single" w:sz="4" w:space="4" w:color="auto"/>
        </w:pBdr>
        <w:jc w:val="both"/>
        <w:rPr>
          <w:i/>
        </w:rPr>
      </w:pPr>
      <w:hyperlink r:id="rId20" w:history="1">
        <w:r w:rsidR="00C06639" w:rsidRPr="00C06639">
          <w:rPr>
            <w:rStyle w:val="Lienhypertexte"/>
            <w:b/>
            <w:i/>
            <w:color w:val="auto"/>
          </w:rPr>
          <w:t>Convention du 5 novembre 2025</w:t>
        </w:r>
        <w:r w:rsidR="00C06639" w:rsidRPr="00C06639">
          <w:rPr>
            <w:rStyle w:val="Lienhypertexte"/>
            <w:i/>
            <w:color w:val="auto"/>
          </w:rPr>
          <w:t xml:space="preserve"> portant avenant à la convention du 8 avril 2021 </w:t>
        </w:r>
        <w:bookmarkStart w:id="11" w:name="_Hlk220944792"/>
        <w:r w:rsidR="00C06639" w:rsidRPr="00C06639">
          <w:rPr>
            <w:rStyle w:val="Lienhypertexte"/>
            <w:i/>
            <w:color w:val="auto"/>
          </w:rPr>
          <w:t>entre l'Etat, l'ADEME, l'Agence nationale de la recherche, la Caisse des dépôts et consignations, l'EPIC Bpifrance et la société anonyme Bpifrance</w:t>
        </w:r>
        <w:bookmarkEnd w:id="11"/>
        <w:r w:rsidR="00C06639" w:rsidRPr="00C06639">
          <w:rPr>
            <w:rStyle w:val="Lienhypertexte"/>
            <w:i/>
            <w:color w:val="auto"/>
          </w:rPr>
          <w:t xml:space="preserve"> encadrant les dispositions communes aux conventions relatives à la mise en œuvre du quatrième programme d'investissements d'avenir et du plan France 2030.</w:t>
        </w:r>
      </w:hyperlink>
    </w:p>
    <w:p w:rsidR="00183280" w:rsidRDefault="00183280" w:rsidP="00553347">
      <w:pPr>
        <w:jc w:val="both"/>
      </w:pPr>
    </w:p>
    <w:p w:rsidR="00183280" w:rsidRDefault="00183280" w:rsidP="00C06639">
      <w:pPr>
        <w:pStyle w:val="Textebrut"/>
        <w:jc w:val="both"/>
      </w:pPr>
    </w:p>
    <w:p w:rsidR="00943454" w:rsidRDefault="00943454" w:rsidP="00C06639">
      <w:pPr>
        <w:pStyle w:val="Textebrut"/>
        <w:jc w:val="both"/>
      </w:pPr>
    </w:p>
    <w:p w:rsidR="00943454" w:rsidRPr="00943454" w:rsidRDefault="00943454" w:rsidP="00231F98">
      <w:pPr>
        <w:pStyle w:val="Textebrut"/>
        <w:pBdr>
          <w:left w:val="single" w:sz="4" w:space="4" w:color="auto"/>
        </w:pBdr>
        <w:jc w:val="both"/>
        <w:rPr>
          <w:b/>
        </w:rPr>
      </w:pPr>
      <w:r w:rsidRPr="00943454">
        <w:rPr>
          <w:b/>
        </w:rPr>
        <w:sym w:font="Wingdings" w:char="F0E8"/>
      </w:r>
      <w:r w:rsidRPr="00943454">
        <w:rPr>
          <w:b/>
        </w:rPr>
        <w:t xml:space="preserve"> Modification de la convention du 14 mai 2021 entre l'Etat, l'EPIC Bpifrance et la société anonyme Bpifrance relative au plan France 2030</w:t>
      </w:r>
    </w:p>
    <w:p w:rsidR="00943454" w:rsidRDefault="00943454" w:rsidP="00231F98">
      <w:pPr>
        <w:pStyle w:val="Textebrut"/>
        <w:pBdr>
          <w:left w:val="single" w:sz="4" w:space="4" w:color="auto"/>
        </w:pBdr>
        <w:jc w:val="both"/>
      </w:pPr>
    </w:p>
    <w:p w:rsidR="00943454" w:rsidRPr="00943454" w:rsidRDefault="00747E03" w:rsidP="00231F98">
      <w:pPr>
        <w:pStyle w:val="Textebrut"/>
        <w:pBdr>
          <w:left w:val="single" w:sz="4" w:space="4" w:color="auto"/>
        </w:pBdr>
        <w:jc w:val="both"/>
        <w:rPr>
          <w:i/>
        </w:rPr>
      </w:pPr>
      <w:hyperlink r:id="rId21" w:history="1">
        <w:r w:rsidR="00943454" w:rsidRPr="00943454">
          <w:rPr>
            <w:rStyle w:val="Lienhypertexte"/>
            <w:b/>
            <w:i/>
            <w:color w:val="auto"/>
          </w:rPr>
          <w:t>Convention du 31 décembre 2025</w:t>
        </w:r>
        <w:r w:rsidR="00943454" w:rsidRPr="00943454">
          <w:rPr>
            <w:rStyle w:val="Lienhypertexte"/>
            <w:i/>
            <w:color w:val="auto"/>
          </w:rPr>
          <w:t xml:space="preserve"> portant avenant à la convention du 14 mai 2021 entre l'Etat, l'EPIC Bpifrance et la société anonyme Bpifrance relative au plan France 2030 (action « aides à l'innovation </w:t>
        </w:r>
        <w:proofErr w:type="spellStart"/>
        <w:r w:rsidR="00943454" w:rsidRPr="00943454">
          <w:rPr>
            <w:rStyle w:val="Lienhypertexte"/>
            <w:i/>
            <w:color w:val="auto"/>
          </w:rPr>
          <w:t>bottom</w:t>
        </w:r>
        <w:proofErr w:type="spellEnd"/>
        <w:r w:rsidR="00943454" w:rsidRPr="00943454">
          <w:rPr>
            <w:rStyle w:val="Lienhypertexte"/>
            <w:i/>
            <w:color w:val="auto"/>
          </w:rPr>
          <w:t>-up », volets « aides nationales » et « aides nationales avec coefficient multiplicateur »).</w:t>
        </w:r>
      </w:hyperlink>
    </w:p>
    <w:p w:rsidR="00943454" w:rsidRDefault="00943454" w:rsidP="00C06639">
      <w:pPr>
        <w:pStyle w:val="Textebrut"/>
        <w:jc w:val="both"/>
      </w:pPr>
    </w:p>
    <w:p w:rsidR="00D946CC" w:rsidRDefault="00D946CC" w:rsidP="00C06639">
      <w:pPr>
        <w:pStyle w:val="Textebrut"/>
        <w:jc w:val="both"/>
      </w:pPr>
    </w:p>
    <w:p w:rsidR="00943454" w:rsidRDefault="00943454" w:rsidP="00C06639">
      <w:pPr>
        <w:pStyle w:val="Textebrut"/>
        <w:jc w:val="both"/>
      </w:pPr>
    </w:p>
    <w:p w:rsidR="00DF5196" w:rsidRDefault="00DF5196" w:rsidP="00DF5196">
      <w:pPr>
        <w:pStyle w:val="Titre1"/>
      </w:pPr>
      <w:bookmarkStart w:id="12" w:name="_Hlk221007746"/>
      <w:bookmarkStart w:id="13" w:name="_Toc221008439"/>
      <w:r>
        <w:t>T</w:t>
      </w:r>
      <w:r>
        <w:t>arifs réglementés</w:t>
      </w:r>
      <w:bookmarkEnd w:id="13"/>
    </w:p>
    <w:bookmarkEnd w:id="12"/>
    <w:p w:rsidR="00DF5196" w:rsidRDefault="00DF5196" w:rsidP="000E6286">
      <w:pPr>
        <w:jc w:val="both"/>
      </w:pPr>
    </w:p>
    <w:p w:rsidR="00306616" w:rsidRPr="00306616" w:rsidRDefault="00306616" w:rsidP="00D946CC">
      <w:pPr>
        <w:pBdr>
          <w:left w:val="single" w:sz="4" w:space="4" w:color="auto"/>
        </w:pBdr>
        <w:jc w:val="both"/>
        <w:rPr>
          <w:b/>
        </w:rPr>
      </w:pPr>
      <w:r w:rsidRPr="00306616">
        <w:rPr>
          <w:b/>
        </w:rPr>
        <w:sym w:font="Wingdings" w:char="F0E8"/>
      </w:r>
      <w:r w:rsidRPr="00306616">
        <w:rPr>
          <w:b/>
        </w:rPr>
        <w:t xml:space="preserve"> Arrêtés du 28 janvier 2026 relatifs aux tarifs réglementés de vente de l’électricité</w:t>
      </w:r>
    </w:p>
    <w:p w:rsidR="00306616" w:rsidRDefault="00306616" w:rsidP="00D946CC">
      <w:pPr>
        <w:pBdr>
          <w:left w:val="single" w:sz="4" w:space="4" w:color="auto"/>
        </w:pBdr>
        <w:jc w:val="both"/>
      </w:pPr>
    </w:p>
    <w:p w:rsidR="00DF5196" w:rsidRPr="00802CAC" w:rsidRDefault="00306616" w:rsidP="00D946CC">
      <w:pPr>
        <w:pStyle w:val="Textebrut"/>
        <w:numPr>
          <w:ilvl w:val="0"/>
          <w:numId w:val="12"/>
        </w:numPr>
        <w:pBdr>
          <w:left w:val="single" w:sz="4" w:space="4" w:color="auto"/>
        </w:pBdr>
        <w:jc w:val="both"/>
        <w:rPr>
          <w:i/>
        </w:rPr>
      </w:pPr>
      <w:hyperlink r:id="rId22" w:history="1">
        <w:r w:rsidRPr="00802CAC">
          <w:rPr>
            <w:rStyle w:val="Lienhypertexte"/>
            <w:i/>
            <w:color w:val="auto"/>
          </w:rPr>
          <w:t xml:space="preserve">Barèmes des </w:t>
        </w:r>
        <w:r w:rsidR="00DF5196" w:rsidRPr="00802CAC">
          <w:rPr>
            <w:rStyle w:val="Lienhypertexte"/>
            <w:i/>
            <w:color w:val="auto"/>
          </w:rPr>
          <w:t xml:space="preserve">tarifs réglementés de vente de l'électricité applicables aux </w:t>
        </w:r>
        <w:r w:rsidR="00DF5196" w:rsidRPr="00802CAC">
          <w:rPr>
            <w:rStyle w:val="Lienhypertexte"/>
            <w:b/>
            <w:i/>
            <w:color w:val="auto"/>
          </w:rPr>
          <w:t>consommateurs</w:t>
        </w:r>
        <w:r w:rsidR="00DF5196" w:rsidRPr="00802CAC">
          <w:rPr>
            <w:rStyle w:val="Lienhypertexte"/>
            <w:i/>
            <w:color w:val="auto"/>
          </w:rPr>
          <w:t xml:space="preserve"> </w:t>
        </w:r>
        <w:r w:rsidR="00DF5196" w:rsidRPr="00802CAC">
          <w:rPr>
            <w:rStyle w:val="Lienhypertexte"/>
            <w:b/>
            <w:i/>
            <w:color w:val="auto"/>
          </w:rPr>
          <w:t>résidentiels</w:t>
        </w:r>
        <w:r w:rsidR="00DF5196" w:rsidRPr="00802CAC">
          <w:rPr>
            <w:rStyle w:val="Lienhypertexte"/>
            <w:i/>
            <w:color w:val="auto"/>
          </w:rPr>
          <w:t xml:space="preserve"> en </w:t>
        </w:r>
        <w:r w:rsidR="00DF5196" w:rsidRPr="00802CAC">
          <w:rPr>
            <w:rStyle w:val="Lienhypertexte"/>
            <w:b/>
            <w:i/>
            <w:color w:val="auto"/>
          </w:rPr>
          <w:t>France métropolitaine</w:t>
        </w:r>
        <w:r w:rsidR="00DF5196" w:rsidRPr="00802CAC">
          <w:rPr>
            <w:rStyle w:val="Lienhypertexte"/>
            <w:i/>
            <w:color w:val="auto"/>
          </w:rPr>
          <w:t xml:space="preserve"> </w:t>
        </w:r>
        <w:r w:rsidR="00DF5196" w:rsidRPr="00802CAC">
          <w:rPr>
            <w:rStyle w:val="Lienhypertexte"/>
            <w:b/>
            <w:i/>
            <w:color w:val="auto"/>
          </w:rPr>
          <w:t>continentale</w:t>
        </w:r>
        <w:r w:rsidRPr="00802CAC">
          <w:rPr>
            <w:rStyle w:val="Lienhypertexte"/>
            <w:i/>
            <w:color w:val="auto"/>
          </w:rPr>
          <w:t>.</w:t>
        </w:r>
      </w:hyperlink>
    </w:p>
    <w:p w:rsidR="00DF5196" w:rsidRPr="00306616" w:rsidRDefault="00DF5196" w:rsidP="00D946CC">
      <w:pPr>
        <w:pStyle w:val="Textebrut"/>
        <w:pBdr>
          <w:left w:val="single" w:sz="4" w:space="4" w:color="auto"/>
        </w:pBdr>
        <w:jc w:val="both"/>
      </w:pPr>
      <w:r w:rsidRPr="00306616">
        <w:t xml:space="preserve">        </w:t>
      </w:r>
    </w:p>
    <w:p w:rsidR="00DF5196" w:rsidRPr="00802CAC" w:rsidRDefault="00306616" w:rsidP="00D946CC">
      <w:pPr>
        <w:pStyle w:val="Textebrut"/>
        <w:numPr>
          <w:ilvl w:val="0"/>
          <w:numId w:val="12"/>
        </w:numPr>
        <w:pBdr>
          <w:left w:val="single" w:sz="4" w:space="4" w:color="auto"/>
        </w:pBdr>
        <w:jc w:val="both"/>
        <w:rPr>
          <w:i/>
        </w:rPr>
      </w:pPr>
      <w:hyperlink r:id="rId23" w:history="1">
        <w:r w:rsidRPr="00802CAC">
          <w:rPr>
            <w:rStyle w:val="Lienhypertexte"/>
            <w:i/>
            <w:color w:val="auto"/>
          </w:rPr>
          <w:t xml:space="preserve">Barèmes des </w:t>
        </w:r>
        <w:r w:rsidR="00DF5196" w:rsidRPr="00802CAC">
          <w:rPr>
            <w:rStyle w:val="Lienhypertexte"/>
            <w:i/>
            <w:color w:val="auto"/>
          </w:rPr>
          <w:t xml:space="preserve">tarifs réglementés de vente de l'électricité applicables aux </w:t>
        </w:r>
        <w:r w:rsidR="00DF5196" w:rsidRPr="00802CAC">
          <w:rPr>
            <w:rStyle w:val="Lienhypertexte"/>
            <w:b/>
            <w:i/>
            <w:color w:val="auto"/>
          </w:rPr>
          <w:t>consommateurs</w:t>
        </w:r>
        <w:r w:rsidR="00DF5196" w:rsidRPr="00802CAC">
          <w:rPr>
            <w:rStyle w:val="Lienhypertexte"/>
            <w:i/>
            <w:color w:val="auto"/>
          </w:rPr>
          <w:t xml:space="preserve"> </w:t>
        </w:r>
        <w:r w:rsidR="00DF5196" w:rsidRPr="00802CAC">
          <w:rPr>
            <w:rStyle w:val="Lienhypertexte"/>
            <w:b/>
            <w:i/>
            <w:color w:val="auto"/>
          </w:rPr>
          <w:t>non</w:t>
        </w:r>
        <w:r w:rsidR="00DF5196" w:rsidRPr="00802CAC">
          <w:rPr>
            <w:rStyle w:val="Lienhypertexte"/>
            <w:i/>
            <w:color w:val="auto"/>
          </w:rPr>
          <w:t xml:space="preserve"> </w:t>
        </w:r>
        <w:r w:rsidR="00DF5196" w:rsidRPr="00802CAC">
          <w:rPr>
            <w:rStyle w:val="Lienhypertexte"/>
            <w:b/>
            <w:i/>
            <w:color w:val="auto"/>
          </w:rPr>
          <w:t>résidentiels en France métropolitaine continentale</w:t>
        </w:r>
        <w:r w:rsidRPr="00802CAC">
          <w:rPr>
            <w:rStyle w:val="Lienhypertexte"/>
            <w:i/>
            <w:color w:val="auto"/>
          </w:rPr>
          <w:t>.</w:t>
        </w:r>
      </w:hyperlink>
    </w:p>
    <w:p w:rsidR="00DF5196" w:rsidRDefault="00DF5196" w:rsidP="00D946CC">
      <w:pPr>
        <w:pStyle w:val="Textebrut"/>
        <w:pBdr>
          <w:left w:val="single" w:sz="4" w:space="4" w:color="auto"/>
        </w:pBdr>
      </w:pPr>
      <w:r>
        <w:t xml:space="preserve">        </w:t>
      </w:r>
    </w:p>
    <w:p w:rsidR="00DF5196" w:rsidRPr="00802CAC" w:rsidRDefault="0036711D" w:rsidP="00D946CC">
      <w:pPr>
        <w:pStyle w:val="Textebrut"/>
        <w:numPr>
          <w:ilvl w:val="0"/>
          <w:numId w:val="13"/>
        </w:numPr>
        <w:pBdr>
          <w:left w:val="single" w:sz="4" w:space="4" w:color="auto"/>
        </w:pBdr>
        <w:jc w:val="both"/>
        <w:rPr>
          <w:i/>
        </w:rPr>
      </w:pPr>
      <w:hyperlink r:id="rId24" w:history="1">
        <w:r w:rsidRPr="00802CAC">
          <w:rPr>
            <w:rStyle w:val="Lienhypertexte"/>
            <w:i/>
            <w:color w:val="auto"/>
          </w:rPr>
          <w:t xml:space="preserve">Barèmes des </w:t>
        </w:r>
        <w:r w:rsidR="00DF5196" w:rsidRPr="00802CAC">
          <w:rPr>
            <w:rStyle w:val="Lienhypertexte"/>
            <w:i/>
            <w:color w:val="auto"/>
          </w:rPr>
          <w:t xml:space="preserve">tarifs réglementés de vente de l'électricité </w:t>
        </w:r>
        <w:r w:rsidR="00DF5196" w:rsidRPr="00802CAC">
          <w:rPr>
            <w:rStyle w:val="Lienhypertexte"/>
            <w:b/>
            <w:i/>
            <w:color w:val="auto"/>
          </w:rPr>
          <w:t>Jaunes et Verts</w:t>
        </w:r>
        <w:r w:rsidR="00DF5196" w:rsidRPr="00802CAC">
          <w:rPr>
            <w:rStyle w:val="Lienhypertexte"/>
            <w:i/>
            <w:color w:val="auto"/>
          </w:rPr>
          <w:t xml:space="preserve"> applicables aux </w:t>
        </w:r>
        <w:r w:rsidR="00DF5196" w:rsidRPr="00802CAC">
          <w:rPr>
            <w:rStyle w:val="Lienhypertexte"/>
            <w:b/>
            <w:i/>
            <w:color w:val="auto"/>
          </w:rPr>
          <w:t>consommateurs</w:t>
        </w:r>
        <w:r w:rsidR="00DF5196" w:rsidRPr="00802CAC">
          <w:rPr>
            <w:rStyle w:val="Lienhypertexte"/>
            <w:i/>
            <w:color w:val="auto"/>
          </w:rPr>
          <w:t xml:space="preserve"> </w:t>
        </w:r>
        <w:r w:rsidR="00DF5196" w:rsidRPr="00802CAC">
          <w:rPr>
            <w:rStyle w:val="Lienhypertexte"/>
            <w:b/>
            <w:i/>
            <w:color w:val="auto"/>
          </w:rPr>
          <w:t>en France métropolitaine continentale</w:t>
        </w:r>
      </w:hyperlink>
      <w:r w:rsidRPr="00802CAC">
        <w:rPr>
          <w:i/>
        </w:rPr>
        <w:t>.</w:t>
      </w:r>
    </w:p>
    <w:p w:rsidR="00700F01" w:rsidRDefault="00700F01" w:rsidP="00D946CC">
      <w:pPr>
        <w:pBdr>
          <w:left w:val="single" w:sz="4" w:space="4" w:color="auto"/>
        </w:pBdr>
        <w:jc w:val="both"/>
      </w:pPr>
    </w:p>
    <w:p w:rsidR="00DF5196" w:rsidRPr="00802CAC" w:rsidRDefault="00700F01" w:rsidP="00D946CC">
      <w:pPr>
        <w:pStyle w:val="Textebrut"/>
        <w:numPr>
          <w:ilvl w:val="0"/>
          <w:numId w:val="13"/>
        </w:numPr>
        <w:pBdr>
          <w:left w:val="single" w:sz="4" w:space="4" w:color="auto"/>
        </w:pBdr>
        <w:jc w:val="both"/>
        <w:rPr>
          <w:i/>
        </w:rPr>
      </w:pPr>
      <w:hyperlink r:id="rId25" w:history="1">
        <w:r w:rsidRPr="00802CAC">
          <w:rPr>
            <w:rStyle w:val="Lienhypertexte"/>
            <w:i/>
            <w:color w:val="auto"/>
          </w:rPr>
          <w:t xml:space="preserve">Barèmes des </w:t>
        </w:r>
        <w:r w:rsidR="00DF5196" w:rsidRPr="00802CAC">
          <w:rPr>
            <w:rStyle w:val="Lienhypertexte"/>
            <w:i/>
            <w:color w:val="auto"/>
          </w:rPr>
          <w:t xml:space="preserve">tarifs réglementés de vente de l'électricité applicables dans les </w:t>
        </w:r>
        <w:r w:rsidR="00DF5196" w:rsidRPr="00802CAC">
          <w:rPr>
            <w:rStyle w:val="Lienhypertexte"/>
            <w:b/>
            <w:i/>
            <w:color w:val="auto"/>
          </w:rPr>
          <w:t>zones</w:t>
        </w:r>
        <w:r w:rsidR="00DF5196" w:rsidRPr="00802CAC">
          <w:rPr>
            <w:rStyle w:val="Lienhypertexte"/>
            <w:i/>
            <w:color w:val="auto"/>
          </w:rPr>
          <w:t xml:space="preserve"> </w:t>
        </w:r>
        <w:r w:rsidR="00DF5196" w:rsidRPr="00802CAC">
          <w:rPr>
            <w:rStyle w:val="Lienhypertexte"/>
            <w:b/>
            <w:i/>
            <w:color w:val="auto"/>
          </w:rPr>
          <w:t>non</w:t>
        </w:r>
        <w:r w:rsidR="00DF5196" w:rsidRPr="00802CAC">
          <w:rPr>
            <w:rStyle w:val="Lienhypertexte"/>
            <w:i/>
            <w:color w:val="auto"/>
          </w:rPr>
          <w:t xml:space="preserve"> i</w:t>
        </w:r>
        <w:r w:rsidR="00DF5196" w:rsidRPr="00802CAC">
          <w:rPr>
            <w:rStyle w:val="Lienhypertexte"/>
            <w:b/>
            <w:i/>
            <w:color w:val="auto"/>
          </w:rPr>
          <w:t>nterconnectées</w:t>
        </w:r>
        <w:r w:rsidR="00DF5196" w:rsidRPr="00802CAC">
          <w:rPr>
            <w:rStyle w:val="Lienhypertexte"/>
            <w:i/>
            <w:color w:val="auto"/>
          </w:rPr>
          <w:t xml:space="preserve"> </w:t>
        </w:r>
        <w:r w:rsidR="00DF5196" w:rsidRPr="00802CAC">
          <w:rPr>
            <w:rStyle w:val="Lienhypertexte"/>
            <w:b/>
            <w:i/>
            <w:color w:val="auto"/>
          </w:rPr>
          <w:t>au réseau métropolitain continental</w:t>
        </w:r>
      </w:hyperlink>
      <w:r w:rsidRPr="00802CAC">
        <w:rPr>
          <w:i/>
        </w:rPr>
        <w:t>.</w:t>
      </w:r>
    </w:p>
    <w:p w:rsidR="00DF5196" w:rsidRDefault="00DF5196" w:rsidP="00D946CC">
      <w:pPr>
        <w:pBdr>
          <w:left w:val="single" w:sz="4" w:space="4" w:color="auto"/>
        </w:pBdr>
        <w:jc w:val="both"/>
      </w:pPr>
      <w:r>
        <w:t xml:space="preserve">        </w:t>
      </w:r>
    </w:p>
    <w:p w:rsidR="00DF5196" w:rsidRPr="00802CAC" w:rsidRDefault="00605915" w:rsidP="00D946CC">
      <w:pPr>
        <w:pStyle w:val="Textebrut"/>
        <w:numPr>
          <w:ilvl w:val="0"/>
          <w:numId w:val="14"/>
        </w:numPr>
        <w:pBdr>
          <w:left w:val="single" w:sz="4" w:space="4" w:color="auto"/>
        </w:pBdr>
        <w:jc w:val="both"/>
        <w:rPr>
          <w:i/>
        </w:rPr>
      </w:pPr>
      <w:hyperlink r:id="rId26" w:history="1">
        <w:r w:rsidRPr="00802CAC">
          <w:rPr>
            <w:rStyle w:val="Lienhypertexte"/>
            <w:i/>
            <w:color w:val="auto"/>
          </w:rPr>
          <w:t xml:space="preserve">Barème du </w:t>
        </w:r>
        <w:r w:rsidR="00DF5196" w:rsidRPr="00802CAC">
          <w:rPr>
            <w:rStyle w:val="Lienhypertexte"/>
            <w:i/>
            <w:color w:val="auto"/>
          </w:rPr>
          <w:t>tarif de cession de l'électricité aux entreprises locales de distribution</w:t>
        </w:r>
        <w:r w:rsidRPr="00802CAC">
          <w:rPr>
            <w:rStyle w:val="Lienhypertexte"/>
            <w:i/>
            <w:color w:val="auto"/>
          </w:rPr>
          <w:t>.</w:t>
        </w:r>
      </w:hyperlink>
    </w:p>
    <w:p w:rsidR="00DF5196" w:rsidRDefault="00DF5196" w:rsidP="00DF5196">
      <w:pPr>
        <w:jc w:val="both"/>
      </w:pPr>
    </w:p>
    <w:p w:rsidR="00662D1F" w:rsidRDefault="00662D1F" w:rsidP="00DF5196">
      <w:pPr>
        <w:jc w:val="both"/>
      </w:pPr>
    </w:p>
    <w:p w:rsidR="00802CAC" w:rsidRDefault="00802CAC" w:rsidP="00DF5196">
      <w:pPr>
        <w:jc w:val="both"/>
      </w:pPr>
    </w:p>
    <w:p w:rsidR="00662D1F" w:rsidRPr="00802CAC" w:rsidRDefault="00662D1F" w:rsidP="00D946CC">
      <w:pPr>
        <w:pBdr>
          <w:left w:val="single" w:sz="4" w:space="4" w:color="auto"/>
        </w:pBdr>
        <w:jc w:val="both"/>
        <w:rPr>
          <w:b/>
        </w:rPr>
      </w:pPr>
      <w:r w:rsidRPr="00802CAC">
        <w:rPr>
          <w:b/>
        </w:rPr>
        <w:sym w:font="Wingdings" w:char="F0E8"/>
      </w:r>
      <w:r w:rsidRPr="00802CAC">
        <w:rPr>
          <w:b/>
        </w:rPr>
        <w:t xml:space="preserve"> Délibérations de la Commission de </w:t>
      </w:r>
      <w:r w:rsidR="00802CAC" w:rsidRPr="00802CAC">
        <w:rPr>
          <w:b/>
        </w:rPr>
        <w:t>régulation de l’énergie</w:t>
      </w:r>
    </w:p>
    <w:p w:rsidR="00662D1F" w:rsidRDefault="00662D1F" w:rsidP="00D946CC">
      <w:pPr>
        <w:pBdr>
          <w:left w:val="single" w:sz="4" w:space="4" w:color="auto"/>
        </w:pBdr>
        <w:jc w:val="both"/>
      </w:pPr>
    </w:p>
    <w:p w:rsidR="00DF5196" w:rsidRPr="00802CAC" w:rsidRDefault="00662D1F" w:rsidP="00D946CC">
      <w:pPr>
        <w:pStyle w:val="Textebrut"/>
        <w:numPr>
          <w:ilvl w:val="0"/>
          <w:numId w:val="15"/>
        </w:numPr>
        <w:pBdr>
          <w:left w:val="single" w:sz="4" w:space="4" w:color="auto"/>
        </w:pBdr>
        <w:jc w:val="both"/>
        <w:rPr>
          <w:b/>
          <w:i/>
        </w:rPr>
      </w:pPr>
      <w:hyperlink r:id="rId27" w:history="1">
        <w:r w:rsidR="00DF5196" w:rsidRPr="00802CAC">
          <w:rPr>
            <w:rStyle w:val="Lienhypertexte"/>
            <w:b/>
            <w:i/>
            <w:color w:val="auto"/>
          </w:rPr>
          <w:t xml:space="preserve">Délibération n° 2026-06 du 14 janvier 2026 </w:t>
        </w:r>
        <w:r w:rsidR="00DF5196" w:rsidRPr="0064041E">
          <w:rPr>
            <w:rStyle w:val="Lienhypertexte"/>
            <w:i/>
            <w:color w:val="auto"/>
          </w:rPr>
          <w:t>portant proposition des tarifs réglementés de vente d'électricité en France métropolitaine continentale et en zones non interconnectées</w:t>
        </w:r>
        <w:r w:rsidRPr="0064041E">
          <w:rPr>
            <w:rStyle w:val="Lienhypertexte"/>
            <w:i/>
            <w:color w:val="auto"/>
          </w:rPr>
          <w:t>.</w:t>
        </w:r>
      </w:hyperlink>
    </w:p>
    <w:p w:rsidR="00802CAC" w:rsidRDefault="00802CAC" w:rsidP="00D946CC">
      <w:pPr>
        <w:pStyle w:val="Textebrut"/>
        <w:pBdr>
          <w:left w:val="single" w:sz="4" w:space="4" w:color="auto"/>
        </w:pBdr>
      </w:pPr>
    </w:p>
    <w:p w:rsidR="00DF5196" w:rsidRPr="0064041E" w:rsidRDefault="00E50B1E" w:rsidP="00D946CC">
      <w:pPr>
        <w:pStyle w:val="Textebrut"/>
        <w:numPr>
          <w:ilvl w:val="0"/>
          <w:numId w:val="15"/>
        </w:numPr>
        <w:pBdr>
          <w:left w:val="single" w:sz="4" w:space="4" w:color="auto"/>
        </w:pBdr>
        <w:jc w:val="both"/>
        <w:rPr>
          <w:i/>
        </w:rPr>
      </w:pPr>
      <w:hyperlink r:id="rId28" w:history="1">
        <w:r w:rsidR="00DF5196" w:rsidRPr="0064041E">
          <w:rPr>
            <w:rStyle w:val="Lienhypertexte"/>
            <w:b/>
            <w:i/>
            <w:color w:val="auto"/>
          </w:rPr>
          <w:t>Délibération n° 2026-07 du 14 janvier 2026</w:t>
        </w:r>
        <w:r w:rsidR="00DF5196" w:rsidRPr="0064041E">
          <w:rPr>
            <w:rStyle w:val="Lienhypertexte"/>
            <w:i/>
            <w:color w:val="auto"/>
          </w:rPr>
          <w:t xml:space="preserve"> portant proposition des tarifs de cession de l'électricité aux entreprises locales de distribution</w:t>
        </w:r>
        <w:r w:rsidRPr="0064041E">
          <w:rPr>
            <w:rStyle w:val="Lienhypertexte"/>
            <w:i/>
            <w:color w:val="auto"/>
          </w:rPr>
          <w:t>.</w:t>
        </w:r>
      </w:hyperlink>
    </w:p>
    <w:p w:rsidR="00E50B1E" w:rsidRDefault="00E50B1E" w:rsidP="00DF5196">
      <w:pPr>
        <w:pStyle w:val="Textebrut"/>
      </w:pPr>
    </w:p>
    <w:p w:rsidR="00D3085B" w:rsidRDefault="00D3085B" w:rsidP="00347591">
      <w:pPr>
        <w:jc w:val="both"/>
      </w:pPr>
    </w:p>
    <w:p w:rsidR="00D946CC" w:rsidRDefault="00D946CC" w:rsidP="00347591">
      <w:pPr>
        <w:jc w:val="both"/>
      </w:pPr>
    </w:p>
    <w:p w:rsidR="00D946CC" w:rsidRDefault="00D946CC" w:rsidP="00D946CC">
      <w:pPr>
        <w:pStyle w:val="Titre1"/>
      </w:pPr>
      <w:bookmarkStart w:id="14" w:name="_Toc221008440"/>
      <w:r>
        <w:t>Taux contribution tarifaire</w:t>
      </w:r>
      <w:bookmarkEnd w:id="14"/>
    </w:p>
    <w:p w:rsidR="00D946CC" w:rsidRDefault="00D946CC" w:rsidP="00D946CC">
      <w:pPr>
        <w:pStyle w:val="Textebrut"/>
      </w:pPr>
    </w:p>
    <w:p w:rsidR="00D946CC" w:rsidRPr="00124785" w:rsidRDefault="00D946CC" w:rsidP="00D946CC">
      <w:pPr>
        <w:pStyle w:val="Textebrut"/>
        <w:pBdr>
          <w:left w:val="single" w:sz="4" w:space="4" w:color="auto"/>
        </w:pBdr>
        <w:jc w:val="both"/>
        <w:rPr>
          <w:b/>
        </w:rPr>
      </w:pPr>
      <w:r w:rsidRPr="00124785">
        <w:rPr>
          <w:b/>
        </w:rPr>
        <w:sym w:font="Wingdings" w:char="F0E8"/>
      </w:r>
      <w:r w:rsidRPr="00124785">
        <w:rPr>
          <w:b/>
        </w:rPr>
        <w:t xml:space="preserve"> Contribution tarifaire sur les prestations de transport et de distribution d’électricité et de gaz naturel</w:t>
      </w:r>
    </w:p>
    <w:p w:rsidR="00D946CC" w:rsidRDefault="00D946CC" w:rsidP="00D946CC">
      <w:pPr>
        <w:pStyle w:val="Textebrut"/>
        <w:pBdr>
          <w:left w:val="single" w:sz="4" w:space="4" w:color="auto"/>
        </w:pBdr>
      </w:pPr>
    </w:p>
    <w:p w:rsidR="00D946CC" w:rsidRPr="0064041E" w:rsidRDefault="00D946CC" w:rsidP="00D946CC">
      <w:pPr>
        <w:pStyle w:val="Textebrut"/>
        <w:pBdr>
          <w:left w:val="single" w:sz="4" w:space="4" w:color="auto"/>
        </w:pBdr>
        <w:jc w:val="both"/>
        <w:rPr>
          <w:i/>
        </w:rPr>
      </w:pPr>
      <w:hyperlink r:id="rId29" w:history="1">
        <w:r w:rsidRPr="0064041E">
          <w:rPr>
            <w:rStyle w:val="Lienhypertexte"/>
            <w:b/>
            <w:i/>
            <w:color w:val="auto"/>
          </w:rPr>
          <w:t>Arrêté du 28 janvier 2026</w:t>
        </w:r>
        <w:r w:rsidRPr="0064041E">
          <w:rPr>
            <w:rStyle w:val="Lienhypertexte"/>
            <w:i/>
            <w:color w:val="auto"/>
          </w:rPr>
          <w:t xml:space="preserve"> modifiant l'arrêté du 20 juillet 2021 relatif aux taux de la contribution tarifaire sur les prestations de transport et de distribution d'électricité et de gaz naturel.</w:t>
        </w:r>
      </w:hyperlink>
    </w:p>
    <w:p w:rsidR="00DF5196" w:rsidRDefault="00DF5196" w:rsidP="00347591">
      <w:pPr>
        <w:jc w:val="both"/>
      </w:pPr>
    </w:p>
    <w:p w:rsidR="00D946CC" w:rsidRDefault="00D946CC" w:rsidP="00347591">
      <w:pPr>
        <w:jc w:val="both"/>
      </w:pPr>
    </w:p>
    <w:p w:rsidR="00D946CC" w:rsidRDefault="00D946CC" w:rsidP="00347591">
      <w:pPr>
        <w:jc w:val="both"/>
      </w:pPr>
    </w:p>
    <w:p w:rsidR="00347591" w:rsidRDefault="00347591" w:rsidP="00347591">
      <w:pPr>
        <w:pStyle w:val="Titre1"/>
      </w:pPr>
      <w:bookmarkStart w:id="15" w:name="_Hlk221006024"/>
      <w:bookmarkStart w:id="16" w:name="_Toc221008441"/>
      <w:r>
        <w:t>Transport</w:t>
      </w:r>
      <w:bookmarkEnd w:id="16"/>
    </w:p>
    <w:bookmarkEnd w:id="15"/>
    <w:p w:rsidR="00347591" w:rsidRDefault="00347591" w:rsidP="00347591">
      <w:pPr>
        <w:jc w:val="both"/>
      </w:pPr>
    </w:p>
    <w:p w:rsidR="009068C0" w:rsidRPr="009068C0" w:rsidRDefault="009068C0" w:rsidP="009068C0">
      <w:pPr>
        <w:pBdr>
          <w:left w:val="single" w:sz="4" w:space="4" w:color="auto"/>
        </w:pBdr>
        <w:jc w:val="both"/>
        <w:rPr>
          <w:b/>
        </w:rPr>
      </w:pPr>
      <w:r w:rsidRPr="009068C0">
        <w:rPr>
          <w:b/>
        </w:rPr>
        <w:sym w:font="Wingdings" w:char="F0E8"/>
      </w:r>
      <w:r w:rsidRPr="009068C0">
        <w:rPr>
          <w:b/>
        </w:rPr>
        <w:t xml:space="preserve"> Liste des versions de voitures particulières électriques ayant atteint le score environnemental minimal</w:t>
      </w:r>
    </w:p>
    <w:p w:rsidR="009068C0" w:rsidRDefault="009068C0" w:rsidP="009068C0">
      <w:pPr>
        <w:pBdr>
          <w:left w:val="single" w:sz="4" w:space="4" w:color="auto"/>
        </w:pBdr>
        <w:jc w:val="both"/>
      </w:pPr>
    </w:p>
    <w:p w:rsidR="009068C0" w:rsidRPr="009068C0" w:rsidRDefault="00747E03" w:rsidP="009068C0">
      <w:pPr>
        <w:pStyle w:val="Textebrut"/>
        <w:pBdr>
          <w:left w:val="single" w:sz="4" w:space="4" w:color="auto"/>
        </w:pBdr>
        <w:jc w:val="both"/>
        <w:rPr>
          <w:i/>
        </w:rPr>
      </w:pPr>
      <w:hyperlink r:id="rId30" w:history="1">
        <w:r w:rsidR="009068C0" w:rsidRPr="009068C0">
          <w:rPr>
            <w:rStyle w:val="Lienhypertexte"/>
            <w:b/>
            <w:i/>
            <w:color w:val="auto"/>
          </w:rPr>
          <w:t>Arrêté du 14 janvier 2026</w:t>
        </w:r>
        <w:r w:rsidR="009068C0" w:rsidRPr="009068C0">
          <w:rPr>
            <w:rStyle w:val="Lienhypertexte"/>
            <w:i/>
            <w:color w:val="auto"/>
          </w:rPr>
          <w:t xml:space="preserve"> modifiant l'arrêté du 14 décembre 2023 fixant la liste des versions de voitures particulières électriques ayant atteint le score environnemental minimal conditionnant l'éligibilité à certaines aides à l'achat ou à la location de véhicules peu polluants.</w:t>
        </w:r>
      </w:hyperlink>
    </w:p>
    <w:p w:rsidR="009068C0" w:rsidRDefault="009068C0" w:rsidP="009068C0">
      <w:pPr>
        <w:pStyle w:val="Textebrut"/>
      </w:pPr>
    </w:p>
    <w:p w:rsidR="007A6590" w:rsidRDefault="007A6590" w:rsidP="00347591">
      <w:pPr>
        <w:jc w:val="both"/>
      </w:pPr>
    </w:p>
    <w:p w:rsidR="00C96CAE" w:rsidRDefault="00C96CAE" w:rsidP="00123886">
      <w:pPr>
        <w:pStyle w:val="Textebrut"/>
      </w:pPr>
    </w:p>
    <w:p w:rsidR="00F31BFA" w:rsidRDefault="00F31BFA" w:rsidP="00124785">
      <w:pPr>
        <w:pStyle w:val="Textebrut"/>
      </w:pPr>
    </w:p>
    <w:sectPr w:rsidR="00F31BFA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E03" w:rsidRDefault="00747E03" w:rsidP="00D92460">
      <w:r>
        <w:separator/>
      </w:r>
    </w:p>
  </w:endnote>
  <w:endnote w:type="continuationSeparator" w:id="0">
    <w:p w:rsidR="00747E03" w:rsidRDefault="00747E03" w:rsidP="00D9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3491846"/>
      <w:docPartObj>
        <w:docPartGallery w:val="Page Numbers (Bottom of Page)"/>
        <w:docPartUnique/>
      </w:docPartObj>
    </w:sdtPr>
    <w:sdtEndPr/>
    <w:sdtContent>
      <w:p w:rsidR="00D92460" w:rsidRDefault="00D9246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92460" w:rsidRDefault="00D924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E03" w:rsidRDefault="00747E03" w:rsidP="00D92460">
      <w:r>
        <w:separator/>
      </w:r>
    </w:p>
  </w:footnote>
  <w:footnote w:type="continuationSeparator" w:id="0">
    <w:p w:rsidR="00747E03" w:rsidRDefault="00747E03" w:rsidP="00D92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47A"/>
    <w:multiLevelType w:val="hybridMultilevel"/>
    <w:tmpl w:val="764E26C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87C"/>
    <w:multiLevelType w:val="hybridMultilevel"/>
    <w:tmpl w:val="B2502D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19B9"/>
    <w:multiLevelType w:val="hybridMultilevel"/>
    <w:tmpl w:val="F05EDFE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373F"/>
    <w:multiLevelType w:val="hybridMultilevel"/>
    <w:tmpl w:val="694606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43662"/>
    <w:multiLevelType w:val="hybridMultilevel"/>
    <w:tmpl w:val="9B8A9D78"/>
    <w:lvl w:ilvl="0" w:tplc="36887A5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879CD"/>
    <w:multiLevelType w:val="hybridMultilevel"/>
    <w:tmpl w:val="C0E82AB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A6AB5"/>
    <w:multiLevelType w:val="hybridMultilevel"/>
    <w:tmpl w:val="72B85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F1C4E"/>
    <w:multiLevelType w:val="hybridMultilevel"/>
    <w:tmpl w:val="22F0D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D56FE"/>
    <w:multiLevelType w:val="hybridMultilevel"/>
    <w:tmpl w:val="23E43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57828"/>
    <w:multiLevelType w:val="hybridMultilevel"/>
    <w:tmpl w:val="BF7A56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C644C"/>
    <w:multiLevelType w:val="hybridMultilevel"/>
    <w:tmpl w:val="FD125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91F3D"/>
    <w:multiLevelType w:val="hybridMultilevel"/>
    <w:tmpl w:val="4662A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E0D08"/>
    <w:multiLevelType w:val="hybridMultilevel"/>
    <w:tmpl w:val="EE9468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4503B"/>
    <w:multiLevelType w:val="hybridMultilevel"/>
    <w:tmpl w:val="76806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F19"/>
    <w:multiLevelType w:val="hybridMultilevel"/>
    <w:tmpl w:val="C1C64024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1"/>
  </w:num>
  <w:num w:numId="5">
    <w:abstractNumId w:val="6"/>
  </w:num>
  <w:num w:numId="6">
    <w:abstractNumId w:val="13"/>
  </w:num>
  <w:num w:numId="7">
    <w:abstractNumId w:val="10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5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04"/>
    <w:rsid w:val="000114B8"/>
    <w:rsid w:val="00030DDB"/>
    <w:rsid w:val="0003562B"/>
    <w:rsid w:val="000508E4"/>
    <w:rsid w:val="0005459C"/>
    <w:rsid w:val="0006248D"/>
    <w:rsid w:val="00071CA8"/>
    <w:rsid w:val="0008225C"/>
    <w:rsid w:val="00083838"/>
    <w:rsid w:val="000E3A76"/>
    <w:rsid w:val="000E6286"/>
    <w:rsid w:val="00113B26"/>
    <w:rsid w:val="00114B69"/>
    <w:rsid w:val="001207FC"/>
    <w:rsid w:val="00123886"/>
    <w:rsid w:val="00124168"/>
    <w:rsid w:val="00124785"/>
    <w:rsid w:val="00137481"/>
    <w:rsid w:val="00154B5C"/>
    <w:rsid w:val="001560E5"/>
    <w:rsid w:val="0018306E"/>
    <w:rsid w:val="00183280"/>
    <w:rsid w:val="001A3B44"/>
    <w:rsid w:val="001E2E01"/>
    <w:rsid w:val="00225435"/>
    <w:rsid w:val="00231F98"/>
    <w:rsid w:val="00244B9D"/>
    <w:rsid w:val="00260921"/>
    <w:rsid w:val="00263C68"/>
    <w:rsid w:val="00291138"/>
    <w:rsid w:val="002959F3"/>
    <w:rsid w:val="00297934"/>
    <w:rsid w:val="002B2D22"/>
    <w:rsid w:val="002E1B81"/>
    <w:rsid w:val="002E303C"/>
    <w:rsid w:val="002E326B"/>
    <w:rsid w:val="002E5509"/>
    <w:rsid w:val="002F07B6"/>
    <w:rsid w:val="002F3015"/>
    <w:rsid w:val="00301420"/>
    <w:rsid w:val="00306616"/>
    <w:rsid w:val="0031157D"/>
    <w:rsid w:val="0032730B"/>
    <w:rsid w:val="0034400F"/>
    <w:rsid w:val="0034625F"/>
    <w:rsid w:val="00347591"/>
    <w:rsid w:val="0035131B"/>
    <w:rsid w:val="0036711D"/>
    <w:rsid w:val="0039532D"/>
    <w:rsid w:val="003B61AA"/>
    <w:rsid w:val="003B72D0"/>
    <w:rsid w:val="00453E7A"/>
    <w:rsid w:val="0045517A"/>
    <w:rsid w:val="00455BD6"/>
    <w:rsid w:val="00457DE2"/>
    <w:rsid w:val="004754A1"/>
    <w:rsid w:val="00481309"/>
    <w:rsid w:val="004A793A"/>
    <w:rsid w:val="004D5A75"/>
    <w:rsid w:val="004F451F"/>
    <w:rsid w:val="00541617"/>
    <w:rsid w:val="00553347"/>
    <w:rsid w:val="005727C1"/>
    <w:rsid w:val="00597FBD"/>
    <w:rsid w:val="005D1CB7"/>
    <w:rsid w:val="005E7ED0"/>
    <w:rsid w:val="00605915"/>
    <w:rsid w:val="00615302"/>
    <w:rsid w:val="00625B63"/>
    <w:rsid w:val="0064041E"/>
    <w:rsid w:val="00642876"/>
    <w:rsid w:val="006442C3"/>
    <w:rsid w:val="00644658"/>
    <w:rsid w:val="0065779C"/>
    <w:rsid w:val="00662D1F"/>
    <w:rsid w:val="00693CA9"/>
    <w:rsid w:val="006A1C2E"/>
    <w:rsid w:val="006B497E"/>
    <w:rsid w:val="006C28FC"/>
    <w:rsid w:val="006C65A9"/>
    <w:rsid w:val="00700F01"/>
    <w:rsid w:val="00717478"/>
    <w:rsid w:val="00717692"/>
    <w:rsid w:val="00723262"/>
    <w:rsid w:val="007253C6"/>
    <w:rsid w:val="00731C35"/>
    <w:rsid w:val="00734752"/>
    <w:rsid w:val="00747E03"/>
    <w:rsid w:val="00776855"/>
    <w:rsid w:val="007A6590"/>
    <w:rsid w:val="007B45FA"/>
    <w:rsid w:val="007C563A"/>
    <w:rsid w:val="007D3F89"/>
    <w:rsid w:val="007E695A"/>
    <w:rsid w:val="007E6CB3"/>
    <w:rsid w:val="007E7380"/>
    <w:rsid w:val="008026EF"/>
    <w:rsid w:val="00802CAC"/>
    <w:rsid w:val="008044BB"/>
    <w:rsid w:val="008175AC"/>
    <w:rsid w:val="00832C75"/>
    <w:rsid w:val="00845A70"/>
    <w:rsid w:val="00866343"/>
    <w:rsid w:val="00885483"/>
    <w:rsid w:val="008A0D83"/>
    <w:rsid w:val="008A2145"/>
    <w:rsid w:val="008B77B8"/>
    <w:rsid w:val="008C1373"/>
    <w:rsid w:val="008D134C"/>
    <w:rsid w:val="008F2EFB"/>
    <w:rsid w:val="008F78E8"/>
    <w:rsid w:val="00906028"/>
    <w:rsid w:val="009068C0"/>
    <w:rsid w:val="00931773"/>
    <w:rsid w:val="00943454"/>
    <w:rsid w:val="00964BD0"/>
    <w:rsid w:val="0098358D"/>
    <w:rsid w:val="009C6F36"/>
    <w:rsid w:val="00A05488"/>
    <w:rsid w:val="00A27679"/>
    <w:rsid w:val="00A63755"/>
    <w:rsid w:val="00A670E8"/>
    <w:rsid w:val="00A67E1F"/>
    <w:rsid w:val="00A71AE3"/>
    <w:rsid w:val="00A84207"/>
    <w:rsid w:val="00A948A6"/>
    <w:rsid w:val="00AA6161"/>
    <w:rsid w:val="00AA77E4"/>
    <w:rsid w:val="00AB09E6"/>
    <w:rsid w:val="00AB6FA7"/>
    <w:rsid w:val="00AD0386"/>
    <w:rsid w:val="00B02917"/>
    <w:rsid w:val="00B11543"/>
    <w:rsid w:val="00B91B37"/>
    <w:rsid w:val="00BB583F"/>
    <w:rsid w:val="00BE6573"/>
    <w:rsid w:val="00C010F4"/>
    <w:rsid w:val="00C06639"/>
    <w:rsid w:val="00C179C1"/>
    <w:rsid w:val="00C22661"/>
    <w:rsid w:val="00C412AD"/>
    <w:rsid w:val="00C42469"/>
    <w:rsid w:val="00C437B0"/>
    <w:rsid w:val="00C44074"/>
    <w:rsid w:val="00C96CAE"/>
    <w:rsid w:val="00CC1744"/>
    <w:rsid w:val="00CC49D3"/>
    <w:rsid w:val="00CF70B7"/>
    <w:rsid w:val="00D3085B"/>
    <w:rsid w:val="00D445C6"/>
    <w:rsid w:val="00D8438E"/>
    <w:rsid w:val="00D92460"/>
    <w:rsid w:val="00D946CC"/>
    <w:rsid w:val="00DA337D"/>
    <w:rsid w:val="00DB56D9"/>
    <w:rsid w:val="00DB6477"/>
    <w:rsid w:val="00DC0BB1"/>
    <w:rsid w:val="00DC107A"/>
    <w:rsid w:val="00DC5A84"/>
    <w:rsid w:val="00DD1675"/>
    <w:rsid w:val="00DF5196"/>
    <w:rsid w:val="00E008B1"/>
    <w:rsid w:val="00E05E28"/>
    <w:rsid w:val="00E1393A"/>
    <w:rsid w:val="00E2162E"/>
    <w:rsid w:val="00E46C2E"/>
    <w:rsid w:val="00E50B1E"/>
    <w:rsid w:val="00E53CE0"/>
    <w:rsid w:val="00E57F8F"/>
    <w:rsid w:val="00E71268"/>
    <w:rsid w:val="00EB3410"/>
    <w:rsid w:val="00EB5104"/>
    <w:rsid w:val="00EB61E4"/>
    <w:rsid w:val="00EC5257"/>
    <w:rsid w:val="00EE444C"/>
    <w:rsid w:val="00EE5D4B"/>
    <w:rsid w:val="00EE6DC5"/>
    <w:rsid w:val="00EF29B5"/>
    <w:rsid w:val="00F122F6"/>
    <w:rsid w:val="00F31BFA"/>
    <w:rsid w:val="00F345BE"/>
    <w:rsid w:val="00F46757"/>
    <w:rsid w:val="00F605B2"/>
    <w:rsid w:val="00F64D9B"/>
    <w:rsid w:val="00F66832"/>
    <w:rsid w:val="00F73EDE"/>
    <w:rsid w:val="00F80383"/>
    <w:rsid w:val="00F83B87"/>
    <w:rsid w:val="00FA6690"/>
    <w:rsid w:val="00FB6EF4"/>
    <w:rsid w:val="00FE2A7C"/>
    <w:rsid w:val="00FE44F3"/>
    <w:rsid w:val="00FE620C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F730"/>
  <w15:chartTrackingRefBased/>
  <w15:docId w15:val="{FB111CA6-0AA6-48FD-BC14-C00BBB36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104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C563A"/>
    <w:pPr>
      <w:keepNext/>
      <w:keepLines/>
      <w:spacing w:before="240"/>
      <w:jc w:val="both"/>
      <w:outlineLvl w:val="0"/>
    </w:pPr>
    <w:rPr>
      <w:rFonts w:ascii="Calibri" w:eastAsiaTheme="majorEastAsia" w:hAnsi="Calibri" w:cstheme="majorBidi"/>
      <w:b/>
      <w:i/>
      <w:color w:val="0070C0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5104"/>
    <w:rPr>
      <w:color w:val="0563C1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EB5104"/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B5104"/>
    <w:rPr>
      <w:rFonts w:ascii="Calibri" w:hAnsi="Calibri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90602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6248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924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2460"/>
  </w:style>
  <w:style w:type="paragraph" w:styleId="Pieddepage">
    <w:name w:val="footer"/>
    <w:basedOn w:val="Normal"/>
    <w:link w:val="PieddepageCar"/>
    <w:uiPriority w:val="99"/>
    <w:unhideWhenUsed/>
    <w:rsid w:val="00D924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2460"/>
  </w:style>
  <w:style w:type="character" w:customStyle="1" w:styleId="Titre1Car">
    <w:name w:val="Titre 1 Car"/>
    <w:basedOn w:val="Policepardfaut"/>
    <w:link w:val="Titre1"/>
    <w:uiPriority w:val="9"/>
    <w:rsid w:val="007C563A"/>
    <w:rPr>
      <w:rFonts w:ascii="Calibri" w:eastAsiaTheme="majorEastAsia" w:hAnsi="Calibri" w:cstheme="majorBidi"/>
      <w:b/>
      <w:i/>
      <w:color w:val="0070C0"/>
      <w:sz w:val="28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81309"/>
    <w:pPr>
      <w:spacing w:line="259" w:lineRule="auto"/>
      <w:outlineLvl w:val="9"/>
    </w:pPr>
    <w:rPr>
      <w:rFonts w:asciiTheme="majorHAnsi" w:hAnsiTheme="majorHAnsi"/>
      <w:b w:val="0"/>
      <w:i w:val="0"/>
      <w:color w:val="2F5496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81309"/>
    <w:pPr>
      <w:spacing w:after="100"/>
    </w:pPr>
  </w:style>
  <w:style w:type="paragraph" w:styleId="Paragraphedeliste">
    <w:name w:val="List Paragraph"/>
    <w:basedOn w:val="Normal"/>
    <w:uiPriority w:val="34"/>
    <w:qFormat/>
    <w:rsid w:val="007C5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" TargetMode="External"/><Relationship Id="rId13" Type="http://schemas.openxmlformats.org/officeDocument/2006/relationships/hyperlink" Target="https://www.legifrance.gouv.fr/download/pdf?id=AmusNUT7Qj9SWbqWcio3m2KprXcSf2MrYdYfS2fg9qk=" TargetMode="External"/><Relationship Id="rId18" Type="http://schemas.openxmlformats.org/officeDocument/2006/relationships/hyperlink" Target="https://www.info.gouv.fr/grand-dossier/france-2030/appels-a-candidatures" TargetMode="External"/><Relationship Id="rId26" Type="http://schemas.openxmlformats.org/officeDocument/2006/relationships/hyperlink" Target="https://www.legifrance.gouv.fr/download/pdf?id=I7R9VS2t0PfielS4ACisQMXue6e00N38ALbR05J-d0I=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gifrance.gouv.fr/download/pdf?id=rTBlMhYaksAKNHFY-s19QewD-lQnj8EG78BD08U7ANE=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download/pdf?id=ZZmn1jte5xXzKCDgLVhoZ_A3lFamqVo5TMjEEwLyuOw=" TargetMode="External"/><Relationship Id="rId17" Type="http://schemas.openxmlformats.org/officeDocument/2006/relationships/hyperlink" Target="https://www.legifrance.gouv.fr/download/pdf?id=Xyc4SZ0cTzwBl3YC8UnhyciBBOvFBquP8SLVDhQ4mrg=" TargetMode="External"/><Relationship Id="rId25" Type="http://schemas.openxmlformats.org/officeDocument/2006/relationships/hyperlink" Target="https://www.legifrance.gouv.fr/download/pdf?id=I7R9VS2t0PfielS4ACisQOrOD493_jgEGty0M67hhGY=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download/pdf?id=6ejXbGtsYRG8fw1VAWB5ZCBfN3SpwEW5zCoQtG6q22E=" TargetMode="External"/><Relationship Id="rId20" Type="http://schemas.openxmlformats.org/officeDocument/2006/relationships/hyperlink" Target="https://www.legifrance.gouv.fr/download/pdf?id=rTBlMhYaksAKNHFY-s19QSVuWr0oZmjTy5LY7ucMcns=" TargetMode="External"/><Relationship Id="rId29" Type="http://schemas.openxmlformats.org/officeDocument/2006/relationships/hyperlink" Target="https://www.legifrance.gouv.fr/download/pdf?id=I7R9VS2t0PfielS4ACisQG3_jl-AG5OU8reAnxwY_iE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download/pdf?id=1dtsvcon6dc8EiLwbI1ALx4APX7KalcLgYeuznhj5ZE=" TargetMode="External"/><Relationship Id="rId24" Type="http://schemas.openxmlformats.org/officeDocument/2006/relationships/hyperlink" Target="https://www.legifrance.gouv.fr/download/pdf?id=I7R9VS2t0PfielS4ACisQJtn2uErKpDWa2oPT0c1Njs=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egifrance.gouv.fr/download/pdf?id=6ejXbGtsYRG8fw1VAWB5ZPJM530GUFJ9awgXQ4O_4Uw=" TargetMode="External"/><Relationship Id="rId23" Type="http://schemas.openxmlformats.org/officeDocument/2006/relationships/hyperlink" Target="https://www.legifrance.gouv.fr/download/pdf?id=I7R9VS2t0PfielS4ACisQMKaN5YM8TCPy2C_ZbLX96A=" TargetMode="External"/><Relationship Id="rId28" Type="http://schemas.openxmlformats.org/officeDocument/2006/relationships/hyperlink" Target="https://www.legifrance.gouv.fr/download/pdf?id=YW9XvMEhn_0kPoh_Wtm5c1z84Bh27UO3QPVX-PDmBOw=" TargetMode="External"/><Relationship Id="rId10" Type="http://schemas.openxmlformats.org/officeDocument/2006/relationships/hyperlink" Target="https://www.legifrance.gouv.fr/download/pdf?id=1dtsvcon6dc8EiLwbI1ALxm68X2PepRiqhRHlZ3xpqA=" TargetMode="External"/><Relationship Id="rId19" Type="http://schemas.openxmlformats.org/officeDocument/2006/relationships/hyperlink" Target="https://www.legifrance.gouv.fr/download/pdf?id=rTBlMhYaksAKNHFY-s19QWKprXcSf2MrYdYfS2fg9qk=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download/pdf?id=0pVbtERhE02Jt6os-u1uglVbqlB-xT1BMnui4USyxY4=" TargetMode="External"/><Relationship Id="rId14" Type="http://schemas.openxmlformats.org/officeDocument/2006/relationships/hyperlink" Target="https://www.legifrance.gouv.fr/download/pdf?id=AmusNUT7Qj9SWbqWcio3myBTeN2gKVrvqLBncL23CaI=" TargetMode="External"/><Relationship Id="rId22" Type="http://schemas.openxmlformats.org/officeDocument/2006/relationships/hyperlink" Target="https://www.legifrance.gouv.fr/download/pdf?id=I7R9VS2t0PfielS4ACisQGW0XwgUQ3ShjAExzLwSnNs=" TargetMode="External"/><Relationship Id="rId27" Type="http://schemas.openxmlformats.org/officeDocument/2006/relationships/hyperlink" Target="https://www.legifrance.gouv.fr/download/pdf?id=YW9XvMEhn_0kPoh_Wtm5c6PLiI3p4Uj3WNwnzOr5f_o=" TargetMode="External"/><Relationship Id="rId30" Type="http://schemas.openxmlformats.org/officeDocument/2006/relationships/hyperlink" Target="https://www.legifrance.gouv.fr/download/pdf?id=Pz3fdX1hfuY5iTA1fkglwN_gRqcUA3qn9Cpuf_2cwJA=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E5074-93E6-4296-8584-F3282665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</Pages>
  <Words>2605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Piatek</dc:creator>
  <cp:keywords/>
  <dc:description/>
  <cp:lastModifiedBy>Jean-Marc Piatek</cp:lastModifiedBy>
  <cp:revision>154</cp:revision>
  <dcterms:created xsi:type="dcterms:W3CDTF">2025-12-12T09:55:00Z</dcterms:created>
  <dcterms:modified xsi:type="dcterms:W3CDTF">2026-02-03T09:53:00Z</dcterms:modified>
</cp:coreProperties>
</file>