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B3090A" w:rsidRPr="00D13835" w:rsidRDefault="00905927" w:rsidP="00905927">
      <w:pPr>
        <w:spacing w:after="120"/>
        <w:jc w:val="left"/>
        <w:rPr>
          <w:rFonts w:ascii="Times New Roman" w:hAnsi="Times New Roman"/>
          <w:u w:val="single"/>
        </w:rPr>
      </w:pPr>
      <w:r w:rsidRPr="00D13835">
        <w:rPr>
          <w:rFonts w:ascii="Times New Roman" w:hAnsi="Times New Roman"/>
          <w:u w:val="single"/>
        </w:rPr>
        <w:t>Date :</w:t>
      </w:r>
      <w:r w:rsidRPr="00D13835">
        <w:rPr>
          <w:rFonts w:ascii="Times New Roman" w:hAnsi="Times New Roman"/>
        </w:rPr>
        <w:t xml:space="preserve"> Jour / mois / Année</w:t>
      </w:r>
      <w:r w:rsidRPr="00D13835">
        <w:rPr>
          <w:rFonts w:ascii="Times New Roman" w:hAnsi="Times New Roman"/>
          <w:u w:val="single"/>
        </w:rPr>
        <w:t xml:space="preserve">    </w:t>
      </w:r>
    </w:p>
    <w:p w:rsidR="00A90494" w:rsidRPr="00D13835" w:rsidRDefault="00A90494"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Ce document sera établi par le porteur du projet de fiche, en lien avec l’ATEE et 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0"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0"/>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B56489" w:rsidRDefault="00B56489" w:rsidP="008A77B4">
      <w:pPr>
        <w:spacing w:after="0"/>
        <w:rPr>
          <w:rFonts w:ascii="Times New Roman" w:hAnsi="Times New Roman"/>
          <w:i/>
        </w:rPr>
      </w:pPr>
      <w:r w:rsidRPr="00B56489">
        <w:rPr>
          <w:rFonts w:ascii="Times New Roman" w:hAnsi="Times New Roman"/>
          <w:i/>
        </w:rPr>
        <w:t>5/ définir les conditions clés de délivrance des CEE et notamment les principaux critères techniques qui seront retenus</w:t>
      </w:r>
    </w:p>
    <w:p w:rsidR="00EF653D" w:rsidRPr="00D13835" w:rsidRDefault="00B56489" w:rsidP="008A77B4">
      <w:pPr>
        <w:spacing w:after="0"/>
        <w:rPr>
          <w:rFonts w:ascii="Times New Roman" w:hAnsi="Times New Roman"/>
          <w:i/>
        </w:rPr>
      </w:pPr>
      <w:r>
        <w:rPr>
          <w:rFonts w:ascii="Times New Roman" w:hAnsi="Times New Roman"/>
          <w:i/>
        </w:rPr>
        <w:t>6</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Pr="00D13835" w:rsidRDefault="00D07E54" w:rsidP="000640EC">
      <w:pPr>
        <w:rPr>
          <w:rFonts w:ascii="Times New Roman" w:hAnsi="Times New Roman"/>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lastRenderedPageBreak/>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Pr="00D13835" w:rsidRDefault="00D07E54" w:rsidP="000640EC">
      <w:pPr>
        <w:ind w:firstLine="709"/>
        <w:rPr>
          <w:rFonts w:ascii="Times New Roman" w:eastAsiaTheme="minorHAnsi" w:hAnsi="Times New Roman"/>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Pr="00D13835"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3373EE"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Pr="00D13835">
        <w:rPr>
          <w:rFonts w:ascii="Times New Roman" w:hAnsi="Times New Roman"/>
          <w:i/>
        </w:rPr>
        <w:t xml:space="preserve">. Ce paragraphe explicitera les sources sur lesquelles seront bâtis les raisonnements et calculs. Il précisera également si les évaluations ont été réalisées à partir d’expérimentations ou de cas concrets ; </w:t>
      </w:r>
      <w:bookmarkStart w:id="1"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1"/>
    <w:p w:rsidR="00A02E12" w:rsidRPr="00D13835"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2"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bookmarkEnd w:id="2"/>
    <w:p w:rsidR="00EA3A9C" w:rsidRPr="00EA3A9C" w:rsidRDefault="00EA3A9C" w:rsidP="00EA3A9C">
      <w:pPr>
        <w:spacing w:after="0"/>
        <w:rPr>
          <w:rFonts w:ascii="Times New Roman" w:hAnsi="Times New Roman"/>
          <w:i/>
        </w:rPr>
      </w:pPr>
      <w:r w:rsidRPr="00EA3A9C">
        <w:rPr>
          <w:rFonts w:ascii="Times New Roman" w:hAnsi="Times New Roman"/>
          <w:i/>
        </w:rPr>
        <w:t>Le calcul du forfait tient compte de la durée de vie justifiée précédemment. Il résulte de la multiplication du gain annuel calculé ci-dessus par la durée de vie actualisée de l’opération actualisée.</w:t>
      </w:r>
    </w:p>
    <w:p w:rsidR="00EA3A9C" w:rsidRPr="00EA3A9C" w:rsidRDefault="00EA3A9C" w:rsidP="00EA3A9C">
      <w:pPr>
        <w:spacing w:after="0"/>
        <w:rPr>
          <w:rFonts w:ascii="Times New Roman" w:hAnsi="Times New Roman"/>
          <w:i/>
        </w:rPr>
      </w:pPr>
      <w:r w:rsidRPr="00EA3A9C">
        <w:rPr>
          <w:rFonts w:ascii="Times New Roman" w:hAnsi="Times New Roman"/>
          <w:b/>
          <w:i/>
        </w:rPr>
        <w:t>Dès lors qu’il y a un changement d’énergie entre la situation de référence et le projet,</w:t>
      </w:r>
      <w:r w:rsidRPr="00EA3A9C">
        <w:rPr>
          <w:rFonts w:ascii="Times New Roman" w:hAnsi="Times New Roman"/>
          <w:i/>
        </w:rPr>
        <w:t xml:space="preserve"> il convient de faire le calcul avec les deux méthodes</w:t>
      </w:r>
      <w:r w:rsidR="00732181">
        <w:rPr>
          <w:rFonts w:ascii="Times New Roman" w:hAnsi="Times New Roman"/>
          <w:i/>
        </w:rPr>
        <w:t xml:space="preserve"> suivantes</w:t>
      </w:r>
      <w:r w:rsidRPr="00EA3A9C">
        <w:rPr>
          <w:rFonts w:ascii="Times New Roman" w:hAnsi="Times New Roman"/>
          <w:i/>
        </w:rPr>
        <w:t xml:space="preserve"> :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en exprimant l’Energie Finale de la situation après travaux en Energie Finale de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lastRenderedPageBreak/>
        <w:t>D’autre part sans exprimer l’Energie Finale de la situation après travaux en Energie Finale de la situation de référence (</w:t>
      </w:r>
      <w:r w:rsidRPr="00EA3A9C">
        <w:rPr>
          <w:rFonts w:ascii="Times New Roman" w:hAnsi="Times New Roman"/>
          <w:b/>
          <w:i/>
        </w:rPr>
        <w:t>Calcul en Energie Finale Intégrale)</w:t>
      </w:r>
    </w:p>
    <w:p w:rsidR="00EA3A9C" w:rsidRPr="00EA3A9C" w:rsidRDefault="00EA3A9C" w:rsidP="00EA3A9C">
      <w:pPr>
        <w:spacing w:after="0"/>
        <w:rPr>
          <w:rFonts w:ascii="Times New Roman" w:hAnsi="Times New Roman"/>
          <w:i/>
        </w:rPr>
      </w:pPr>
      <w:r w:rsidRPr="00EA3A9C">
        <w:rPr>
          <w:rFonts w:ascii="Times New Roman" w:hAnsi="Times New Roman"/>
          <w:i/>
        </w:rPr>
        <w:t>Par exemple, dans le cas de l’électrification (passage d’une solution utilisant du fossile à une solution utilisant de l’électricité), il convient dans les calculs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D’une part, de multiplier la consommation d’électricité par le coefficient d’énergie primaire ou de la diviser par le rendement d’une centrale de production d’électricité virtuelle utilisant la même énergie fossile que la situation de référence ;</w:t>
      </w:r>
    </w:p>
    <w:p w:rsidR="00EA3A9C" w:rsidRPr="00EA3A9C" w:rsidRDefault="00EA3A9C" w:rsidP="00EA3A9C">
      <w:pPr>
        <w:numPr>
          <w:ilvl w:val="0"/>
          <w:numId w:val="8"/>
        </w:numPr>
        <w:spacing w:after="0"/>
        <w:rPr>
          <w:rFonts w:ascii="Times New Roman" w:hAnsi="Times New Roman"/>
          <w:i/>
        </w:rPr>
      </w:pPr>
      <w:r w:rsidRPr="00EA3A9C">
        <w:rPr>
          <w:rFonts w:ascii="Times New Roman" w:hAnsi="Times New Roman"/>
          <w:i/>
        </w:rPr>
        <w:t>D’autre part de s’affranchir du calcul ci-dessus. (</w:t>
      </w:r>
      <w:r w:rsidRPr="00EA3A9C">
        <w:rPr>
          <w:rFonts w:ascii="Times New Roman" w:hAnsi="Times New Roman"/>
          <w:b/>
          <w:i/>
        </w:rPr>
        <w:t>Calcul en Energie Finale Intégrale) NB : on remplace le coefficient d’Energie Primaire par la valeur 1 !</w:t>
      </w:r>
    </w:p>
    <w:p w:rsidR="003D2BF1" w:rsidRDefault="003D2BF1" w:rsidP="00A02E12">
      <w:pPr>
        <w:rPr>
          <w:rFonts w:ascii="Times New Roman" w:hAnsi="Times New Roman"/>
        </w:rPr>
      </w:pPr>
    </w:p>
    <w:p w:rsidR="00A90494" w:rsidRDefault="00A90494" w:rsidP="00A02E12">
      <w:pPr>
        <w:rPr>
          <w:rFonts w:ascii="Times New Roman" w:hAnsi="Times New Roman"/>
        </w:rPr>
      </w:pP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EF5A0D" w:rsidRDefault="00487645" w:rsidP="00EF5A0D">
      <w:pPr>
        <w:rPr>
          <w:rFonts w:ascii="Times New Roman" w:hAnsi="Times New Roman"/>
          <w:i/>
        </w:rPr>
      </w:pPr>
      <w:bookmarkStart w:id="3"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xml:space="preserve">. </w:t>
      </w:r>
    </w:p>
    <w:p w:rsidR="00EF5A0D" w:rsidRPr="00E35652" w:rsidRDefault="00EF5A0D" w:rsidP="00EF5A0D">
      <w:pPr>
        <w:rPr>
          <w:i/>
          <w:iCs/>
        </w:rPr>
      </w:pPr>
      <w:r w:rsidRPr="00E35652">
        <w:rPr>
          <w:rFonts w:eastAsia="Times New Roman"/>
          <w:b/>
          <w:bCs/>
          <w:i/>
          <w:iCs/>
        </w:rPr>
        <w:t xml:space="preserve">Deux gisements des CEE maximaux sont à estimer à l’échelle nationale : </w:t>
      </w:r>
    </w:p>
    <w:p w:rsidR="0075626D" w:rsidRPr="00D13835" w:rsidRDefault="0075626D" w:rsidP="001F291E">
      <w:pPr>
        <w:tabs>
          <w:tab w:val="num" w:pos="720"/>
        </w:tabs>
        <w:spacing w:after="0"/>
        <w:rPr>
          <w:rFonts w:ascii="Times New Roman" w:hAnsi="Times New Roman"/>
          <w:i/>
        </w:rPr>
      </w:pPr>
    </w:p>
    <w:p w:rsidR="00CD43F5" w:rsidRPr="00CD43F5" w:rsidRDefault="00CD43F5" w:rsidP="00CD43F5">
      <w:pPr>
        <w:spacing w:after="0"/>
        <w:rPr>
          <w:rFonts w:ascii="Times New Roman" w:hAnsi="Times New Roman"/>
          <w:i/>
        </w:rPr>
      </w:pPr>
      <w:bookmarkStart w:id="4" w:name="_Hlk169586867"/>
      <w:bookmarkEnd w:id="3"/>
      <w:r w:rsidRPr="00CD43F5">
        <w:rPr>
          <w:rFonts w:ascii="Times New Roman" w:hAnsi="Times New Roman"/>
          <w:i/>
          <w:iCs/>
        </w:rPr>
        <w:t xml:space="preserve">Le </w:t>
      </w:r>
      <w:r w:rsidRPr="00CD43F5">
        <w:rPr>
          <w:rFonts w:ascii="Times New Roman" w:hAnsi="Times New Roman"/>
          <w:b/>
          <w:bCs/>
          <w:i/>
          <w:iCs/>
        </w:rPr>
        <w:t xml:space="preserve">gisement ultime </w:t>
      </w:r>
      <w:r w:rsidRPr="00CD43F5">
        <w:rPr>
          <w:rFonts w:ascii="Times New Roman" w:hAnsi="Times New Roman"/>
          <w:i/>
          <w:iCs/>
        </w:rPr>
        <w:t xml:space="preserve">est défini comme le </w:t>
      </w:r>
      <w:r w:rsidRPr="00CD43F5">
        <w:rPr>
          <w:rFonts w:ascii="Times New Roman" w:hAnsi="Times New Roman"/>
          <w:b/>
          <w:bCs/>
          <w:i/>
          <w:iCs/>
        </w:rPr>
        <w:t>gisement théorique ma</w:t>
      </w:r>
      <w:r w:rsidRPr="00CD43F5">
        <w:rPr>
          <w:rFonts w:ascii="Times New Roman" w:hAnsi="Times New Roman"/>
          <w:i/>
          <w:iCs/>
        </w:rPr>
        <w:t>ximal (</w:t>
      </w:r>
      <w:r w:rsidRPr="00CD43F5">
        <w:rPr>
          <w:rFonts w:ascii="Times New Roman" w:hAnsi="Times New Roman"/>
          <w:b/>
          <w:bCs/>
          <w:i/>
          <w:iCs/>
        </w:rPr>
        <w:t>en TWhc</w:t>
      </w:r>
      <w:r w:rsidRPr="00CD43F5">
        <w:rPr>
          <w:rFonts w:ascii="Times New Roman" w:hAnsi="Times New Roman"/>
          <w:i/>
          <w:iCs/>
        </w:rPr>
        <w:t xml:space="preserve">), </w:t>
      </w:r>
      <w:r w:rsidRPr="00CD43F5">
        <w:rPr>
          <w:rFonts w:ascii="Times New Roman" w:hAnsi="Times New Roman"/>
          <w:b/>
          <w:bCs/>
          <w:i/>
          <w:iCs/>
        </w:rPr>
        <w:t>en considérant que l’ensemble du parc de bâtiments français, du parc d’équipements ou l’ensemble des services concernés,</w:t>
      </w:r>
      <w:r w:rsidRPr="00CD43F5">
        <w:rPr>
          <w:rFonts w:ascii="Times New Roman" w:hAnsi="Times New Roman"/>
          <w:i/>
          <w:iCs/>
        </w:rPr>
        <w:t xml:space="preserve"> </w:t>
      </w:r>
      <w:r w:rsidRPr="00CD43F5">
        <w:rPr>
          <w:rFonts w:ascii="Times New Roman" w:hAnsi="Times New Roman"/>
          <w:b/>
          <w:bCs/>
          <w:i/>
          <w:iCs/>
        </w:rPr>
        <w:t xml:space="preserve">est intégralement couvert par l’opération </w:t>
      </w:r>
      <w:r w:rsidRPr="00CD43F5">
        <w:rPr>
          <w:rFonts w:ascii="Times New Roman" w:hAnsi="Times New Roman"/>
          <w:i/>
          <w:iCs/>
        </w:rPr>
        <w:t>de la fiche CEE (c’est-à-dire 100% du parc équipé, sans prendre en compte les opérations déjà mises en œuvre).</w:t>
      </w:r>
    </w:p>
    <w:p w:rsidR="0075626D" w:rsidRPr="00D13835" w:rsidRDefault="0075626D" w:rsidP="001F291E">
      <w:pPr>
        <w:tabs>
          <w:tab w:val="num" w:pos="720"/>
        </w:tabs>
        <w:spacing w:after="0"/>
        <w:rPr>
          <w:rFonts w:ascii="Times New Roman" w:hAnsi="Times New Roman"/>
          <w:i/>
        </w:rPr>
      </w:pPr>
    </w:p>
    <w:p w:rsidR="00735641" w:rsidRPr="00CD43F5" w:rsidRDefault="004417C1" w:rsidP="00CD43F5">
      <w:pPr>
        <w:spacing w:after="0"/>
        <w:rPr>
          <w:rFonts w:ascii="Times New Roman" w:hAnsi="Times New Roman"/>
          <w:i/>
        </w:rPr>
      </w:pPr>
      <w:r w:rsidRPr="00CD43F5">
        <w:rPr>
          <w:rFonts w:ascii="Times New Roman" w:hAnsi="Times New Roman"/>
          <w:i/>
          <w:iCs/>
        </w:rPr>
        <w:t xml:space="preserve">Le </w:t>
      </w:r>
      <w:r w:rsidRPr="00CD43F5">
        <w:rPr>
          <w:rFonts w:ascii="Times New Roman" w:hAnsi="Times New Roman"/>
          <w:b/>
          <w:bCs/>
          <w:i/>
          <w:iCs/>
        </w:rPr>
        <w:t>gisement annuel</w:t>
      </w:r>
      <w:r w:rsidRPr="00CD43F5">
        <w:rPr>
          <w:rFonts w:ascii="Times New Roman" w:hAnsi="Times New Roman"/>
          <w:i/>
          <w:iCs/>
        </w:rPr>
        <w:t xml:space="preserve"> est défini comme le gisement prévisionnel moyen annuel (</w:t>
      </w:r>
      <w:r w:rsidRPr="00CD43F5">
        <w:rPr>
          <w:rFonts w:ascii="Times New Roman" w:hAnsi="Times New Roman"/>
          <w:b/>
          <w:bCs/>
          <w:i/>
          <w:iCs/>
        </w:rPr>
        <w:t>en TWhc/an</w:t>
      </w:r>
      <w:r w:rsidRPr="00CD43F5">
        <w:rPr>
          <w:rFonts w:ascii="Times New Roman" w:hAnsi="Times New Roman"/>
          <w:i/>
          <w:iCs/>
        </w:rPr>
        <w:t xml:space="preserve">) </w:t>
      </w:r>
      <w:r w:rsidRPr="00CD43F5">
        <w:rPr>
          <w:rFonts w:ascii="Times New Roman" w:hAnsi="Times New Roman"/>
          <w:b/>
          <w:bCs/>
          <w:i/>
          <w:iCs/>
        </w:rPr>
        <w:t>estimé à partir des évolutions de marché évaluées pour les trois prochaines années à minima</w:t>
      </w:r>
      <w:r w:rsidRPr="00CD43F5">
        <w:rPr>
          <w:rFonts w:ascii="Times New Roman" w:hAnsi="Times New Roman"/>
          <w:i/>
          <w:iCs/>
        </w:rPr>
        <w:t xml:space="preserve">. </w:t>
      </w:r>
    </w:p>
    <w:p w:rsidR="00CD43F5" w:rsidRPr="00CD43F5" w:rsidRDefault="00CD43F5" w:rsidP="00CD43F5">
      <w:pPr>
        <w:tabs>
          <w:tab w:val="num" w:pos="720"/>
        </w:tabs>
        <w:spacing w:after="0"/>
        <w:rPr>
          <w:rFonts w:ascii="Times New Roman" w:hAnsi="Times New Roman"/>
          <w:i/>
        </w:rPr>
      </w:pPr>
      <w:r w:rsidRPr="00CD43F5">
        <w:rPr>
          <w:rFonts w:ascii="Times New Roman" w:hAnsi="Times New Roman"/>
          <w:i/>
          <w:iCs/>
        </w:rPr>
        <w:t xml:space="preserve">Ce gisement peut être évalué à partir </w:t>
      </w:r>
      <w:r w:rsidRPr="00CD43F5">
        <w:rPr>
          <w:rFonts w:ascii="Times New Roman" w:hAnsi="Times New Roman"/>
          <w:b/>
          <w:bCs/>
          <w:i/>
          <w:iCs/>
        </w:rPr>
        <w:t xml:space="preserve">des ventes annuelles historiques, complété d’études de marché </w:t>
      </w:r>
      <w:r w:rsidRPr="00CD43F5">
        <w:rPr>
          <w:rFonts w:ascii="Times New Roman" w:hAnsi="Times New Roman"/>
          <w:i/>
          <w:iCs/>
        </w:rPr>
        <w:t>qui estiment des taux d’évolution prévisionnelles de ventes.</w:t>
      </w:r>
    </w:p>
    <w:p w:rsidR="00CD43F5" w:rsidRPr="00D13835" w:rsidRDefault="00CD43F5" w:rsidP="001F291E">
      <w:pPr>
        <w:tabs>
          <w:tab w:val="num" w:pos="720"/>
        </w:tabs>
        <w:spacing w:after="0"/>
        <w:rPr>
          <w:rFonts w:ascii="Times New Roman" w:hAnsi="Times New Roman"/>
          <w:i/>
        </w:rPr>
      </w:pPr>
    </w:p>
    <w:p w:rsidR="000640EC" w:rsidRPr="00D13835" w:rsidRDefault="000640EC" w:rsidP="008519C6">
      <w:pPr>
        <w:tabs>
          <w:tab w:val="num" w:pos="720"/>
        </w:tabs>
        <w:rPr>
          <w:rFonts w:ascii="Times New Roman" w:hAnsi="Times New Roman"/>
        </w:rPr>
      </w:pPr>
    </w:p>
    <w:bookmarkEnd w:id="4"/>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4417C1" w:rsidRPr="00EF5A0D" w:rsidRDefault="004417C1" w:rsidP="004417C1">
      <w:pPr>
        <w:spacing w:after="0"/>
        <w:rPr>
          <w:rFonts w:ascii="Times New Roman" w:hAnsi="Times New Roman"/>
          <w:i/>
        </w:rPr>
      </w:pPr>
      <w:bookmarkStart w:id="5" w:name="_Hlk168898759"/>
      <w:r>
        <w:rPr>
          <w:rFonts w:ascii="Times New Roman" w:hAnsi="Times New Roman"/>
          <w:i/>
        </w:rPr>
        <w:t>(</w:t>
      </w:r>
      <w:bookmarkStart w:id="6" w:name="_Hlk188015411"/>
      <w:r w:rsidRPr="000E7735">
        <w:rPr>
          <w:rFonts w:ascii="Times New Roman" w:eastAsia="Times New Roman" w:hAnsi="Times New Roman"/>
          <w:b/>
          <w:bCs/>
          <w:i/>
          <w:iCs/>
        </w:rPr>
        <w:t>Le taux de couverture (en %) est la part du coût des travaux couverte par la prime CEE</w:t>
      </w:r>
      <w:r w:rsidRPr="000E7735">
        <w:rPr>
          <w:rFonts w:ascii="Times New Roman" w:eastAsia="Times New Roman" w:hAnsi="Times New Roman"/>
          <w:i/>
          <w:iCs/>
        </w:rPr>
        <w:t>.</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Pour calculer le taux de couverture, il faut </w:t>
      </w:r>
      <w:r w:rsidRPr="000E7735">
        <w:rPr>
          <w:rFonts w:ascii="Times New Roman" w:eastAsia="Times New Roman" w:hAnsi="Times New Roman"/>
          <w:b/>
          <w:bCs/>
          <w:i/>
          <w:iCs/>
        </w:rPr>
        <w:t>prendre en compte l’ensemble des coûts moyens directement liés à l’opération</w:t>
      </w:r>
      <w:r w:rsidRPr="000E7735">
        <w:rPr>
          <w:rFonts w:ascii="Times New Roman" w:eastAsia="Times New Roman" w:hAnsi="Times New Roman"/>
          <w:i/>
          <w:iCs/>
        </w:rPr>
        <w:t xml:space="preserve"> - équipements + installation- de la solution ou du service proposé </w:t>
      </w:r>
      <w:r w:rsidRPr="000E7735">
        <w:rPr>
          <w:rFonts w:ascii="Times New Roman" w:eastAsia="Times New Roman" w:hAnsi="Times New Roman"/>
          <w:b/>
          <w:bCs/>
          <w:i/>
          <w:iCs/>
        </w:rPr>
        <w:t xml:space="preserve">et le diviser par la montant de la prime accordée au bénéficiaire.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 : les heures d’installation comptent ainsi que tous les frais annexes (raccord, pièces détachées nécessaires à la mise en place…etc.).</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 En revanche, </w:t>
      </w:r>
      <w:r w:rsidRPr="000E7735">
        <w:rPr>
          <w:rFonts w:ascii="Times New Roman" w:eastAsia="Times New Roman" w:hAnsi="Times New Roman"/>
          <w:b/>
          <w:bCs/>
          <w:i/>
          <w:iCs/>
        </w:rPr>
        <w:t xml:space="preserve">tout ce qui est supplémentaire à l’opération d’économies d’énergie ne doit pas être pris en compte.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Par exemple, la peinture quand on fait de l’isolation intérieur, le revêtement extérieur quand on fait une ITE (car le revêtement peut être plus ou moins cher suivant la qualité et finition souhaité</w:t>
      </w:r>
      <w:r>
        <w:rPr>
          <w:i/>
          <w:iCs/>
        </w:rPr>
        <w:t>.</w:t>
      </w:r>
      <w:r w:rsidRPr="000E7735">
        <w:rPr>
          <w:rFonts w:ascii="Times New Roman" w:eastAsia="Times New Roman" w:hAnsi="Times New Roman"/>
          <w:i/>
          <w:iCs/>
        </w:rPr>
        <w:t xml:space="preserv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 xml:space="preserve">Ces données permettront une fois le forfait calé </w:t>
      </w:r>
      <w:r w:rsidRPr="000E7735">
        <w:rPr>
          <w:rFonts w:ascii="Times New Roman" w:eastAsia="Times New Roman" w:hAnsi="Times New Roman"/>
          <w:b/>
          <w:bCs/>
          <w:i/>
          <w:iCs/>
        </w:rPr>
        <w:t xml:space="preserve">d’évaluer le taux de recouvrement financier de la solution, avec CEE. </w:t>
      </w:r>
    </w:p>
    <w:p w:rsidR="004417C1" w:rsidRPr="00EF5A0D" w:rsidRDefault="004417C1" w:rsidP="004417C1">
      <w:pPr>
        <w:spacing w:after="0"/>
        <w:rPr>
          <w:rFonts w:ascii="Times New Roman" w:hAnsi="Times New Roman"/>
          <w:i/>
        </w:rPr>
      </w:pPr>
      <w:r w:rsidRPr="000E7735">
        <w:rPr>
          <w:rFonts w:ascii="Times New Roman" w:eastAsia="Times New Roman" w:hAnsi="Times New Roman"/>
          <w:i/>
          <w:iCs/>
        </w:rPr>
        <w:t>Exemple</w:t>
      </w:r>
      <w:r>
        <w:rPr>
          <w:rFonts w:ascii="Times New Roman" w:hAnsi="Times New Roman"/>
          <w:i/>
          <w:iCs/>
        </w:rPr>
        <w:t xml:space="preserve"> </w:t>
      </w:r>
      <w:r w:rsidRPr="000E7735">
        <w:rPr>
          <w:rFonts w:ascii="Times New Roman" w:eastAsia="Times New Roman" w:hAnsi="Times New Roman"/>
          <w:i/>
          <w:iCs/>
        </w:rPr>
        <w:t>: si une opération coûte 100 et que le montant de la prime est de 10</w:t>
      </w:r>
    </w:p>
    <w:p w:rsidR="004417C1" w:rsidRPr="00EF5A0D" w:rsidRDefault="004417C1" w:rsidP="004417C1">
      <w:pPr>
        <w:numPr>
          <w:ilvl w:val="0"/>
          <w:numId w:val="12"/>
        </w:numPr>
        <w:spacing w:after="0"/>
        <w:rPr>
          <w:rFonts w:ascii="Times New Roman" w:hAnsi="Times New Roman"/>
          <w:i/>
        </w:rPr>
      </w:pPr>
      <w:r w:rsidRPr="000E7735">
        <w:rPr>
          <w:rFonts w:ascii="Times New Roman" w:eastAsia="Times New Roman" w:hAnsi="Times New Roman"/>
          <w:i/>
          <w:iCs/>
        </w:rPr>
        <w:t xml:space="preserve"> Le taux de couverture est de 10%</w:t>
      </w:r>
      <w:r>
        <w:rPr>
          <w:i/>
          <w:iCs/>
        </w:rPr>
        <w:t>)</w:t>
      </w:r>
    </w:p>
    <w:p w:rsidR="004417C1" w:rsidRDefault="004417C1" w:rsidP="004417C1">
      <w:pPr>
        <w:rPr>
          <w:i/>
        </w:rPr>
      </w:pPr>
    </w:p>
    <w:p w:rsidR="004417C1" w:rsidRPr="00D13835" w:rsidRDefault="004417C1" w:rsidP="004417C1">
      <w:pPr>
        <w:spacing w:after="0"/>
        <w:rPr>
          <w:rFonts w:ascii="Times New Roman" w:hAnsi="Times New Roman"/>
          <w:i/>
        </w:rPr>
      </w:pPr>
      <w:r w:rsidRPr="00D13835">
        <w:rPr>
          <w:rFonts w:ascii="Times New Roman" w:hAnsi="Times New Roman"/>
          <w:i/>
        </w:rPr>
        <w:t>Le prix de CEE retenu est de 5,5€/</w:t>
      </w:r>
      <w:proofErr w:type="spellStart"/>
      <w:r w:rsidRPr="00D13835">
        <w:rPr>
          <w:rFonts w:ascii="Times New Roman" w:hAnsi="Times New Roman"/>
          <w:i/>
        </w:rPr>
        <w:t>MWhc</w:t>
      </w:r>
      <w:proofErr w:type="spellEnd"/>
      <w:r w:rsidRPr="00D13835">
        <w:rPr>
          <w:rFonts w:ascii="Times New Roman" w:hAnsi="Times New Roman"/>
          <w:i/>
        </w:rPr>
        <w:t xml:space="preserve"> pour la valeur basse et de 7,5€/</w:t>
      </w:r>
      <w:proofErr w:type="spellStart"/>
      <w:r w:rsidRPr="00D13835">
        <w:rPr>
          <w:rFonts w:ascii="Times New Roman" w:hAnsi="Times New Roman"/>
          <w:i/>
        </w:rPr>
        <w:t>MWhc</w:t>
      </w:r>
      <w:proofErr w:type="spellEnd"/>
      <w:r w:rsidRPr="00D13835">
        <w:rPr>
          <w:rFonts w:ascii="Times New Roman" w:hAnsi="Times New Roman"/>
          <w:i/>
        </w:rPr>
        <w:t xml:space="preserve"> pour la valeur haute</w:t>
      </w:r>
      <w:r>
        <w:rPr>
          <w:i/>
        </w:rPr>
        <w:t>.</w:t>
      </w:r>
    </w:p>
    <w:bookmarkEnd w:id="5"/>
    <w:bookmarkEnd w:id="6"/>
    <w:p w:rsidR="00905927" w:rsidRPr="00D13835" w:rsidRDefault="00905927">
      <w:pPr>
        <w:spacing w:after="0"/>
        <w:jc w:val="left"/>
        <w:rPr>
          <w:rFonts w:ascii="Times New Roman" w:hAnsi="Times New Roman"/>
          <w:u w:val="single"/>
        </w:rPr>
      </w:pPr>
    </w:p>
    <w:sectPr w:rsidR="00905927" w:rsidRPr="00D13835" w:rsidSect="00086AF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F1" w:rsidRDefault="00E121F1" w:rsidP="00A363F2">
      <w:pPr>
        <w:spacing w:after="0"/>
      </w:pPr>
      <w:r>
        <w:separator/>
      </w:r>
    </w:p>
    <w:p w:rsidR="00E121F1" w:rsidRDefault="00E121F1"/>
    <w:p w:rsidR="00E121F1" w:rsidRDefault="00E121F1" w:rsidP="00905927"/>
  </w:endnote>
  <w:endnote w:type="continuationSeparator" w:id="0">
    <w:p w:rsidR="00E121F1" w:rsidRDefault="00E121F1" w:rsidP="00A363F2">
      <w:pPr>
        <w:spacing w:after="0"/>
      </w:pPr>
      <w:r>
        <w:continuationSeparator/>
      </w:r>
    </w:p>
    <w:p w:rsidR="00E121F1" w:rsidRDefault="00E121F1"/>
    <w:p w:rsidR="00E121F1" w:rsidRDefault="00E121F1"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89" w:rsidRDefault="00B564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B56489">
      <w:t>29</w:t>
    </w:r>
    <w:bookmarkStart w:id="7" w:name="_GoBack"/>
    <w:bookmarkEnd w:id="7"/>
    <w:r w:rsidR="00AD2D0A">
      <w:t>/</w:t>
    </w:r>
    <w:r w:rsidR="00EF4648">
      <w:t>01</w:t>
    </w:r>
    <w:r w:rsidR="00AD2D0A">
      <w:t>/202</w:t>
    </w:r>
    <w:r w:rsidR="00EF4648">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89" w:rsidRDefault="00B564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F1" w:rsidRDefault="00E121F1" w:rsidP="00A363F2">
      <w:pPr>
        <w:spacing w:after="0"/>
      </w:pPr>
      <w:r>
        <w:separator/>
      </w:r>
    </w:p>
    <w:p w:rsidR="00E121F1" w:rsidRDefault="00E121F1"/>
    <w:p w:rsidR="00E121F1" w:rsidRDefault="00E121F1" w:rsidP="00905927"/>
  </w:footnote>
  <w:footnote w:type="continuationSeparator" w:id="0">
    <w:p w:rsidR="00E121F1" w:rsidRDefault="00E121F1" w:rsidP="00A363F2">
      <w:pPr>
        <w:spacing w:after="0"/>
      </w:pPr>
      <w:r>
        <w:continuationSeparator/>
      </w:r>
    </w:p>
    <w:p w:rsidR="00E121F1" w:rsidRDefault="00E121F1"/>
    <w:p w:rsidR="00E121F1" w:rsidRDefault="00E121F1"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89" w:rsidRDefault="00B564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489" w:rsidRDefault="00B564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C33B65"/>
    <w:multiLevelType w:val="hybridMultilevel"/>
    <w:tmpl w:val="AB8E112A"/>
    <w:lvl w:ilvl="0" w:tplc="FDE4CD12">
      <w:start w:val="1"/>
      <w:numFmt w:val="bullet"/>
      <w:lvlText w:val="•"/>
      <w:lvlJc w:val="left"/>
      <w:pPr>
        <w:tabs>
          <w:tab w:val="num" w:pos="720"/>
        </w:tabs>
        <w:ind w:left="720" w:hanging="360"/>
      </w:pPr>
      <w:rPr>
        <w:rFonts w:ascii="Arial" w:hAnsi="Arial" w:hint="default"/>
      </w:rPr>
    </w:lvl>
    <w:lvl w:ilvl="1" w:tplc="CD7467F6" w:tentative="1">
      <w:start w:val="1"/>
      <w:numFmt w:val="bullet"/>
      <w:lvlText w:val="•"/>
      <w:lvlJc w:val="left"/>
      <w:pPr>
        <w:tabs>
          <w:tab w:val="num" w:pos="1440"/>
        </w:tabs>
        <w:ind w:left="1440" w:hanging="360"/>
      </w:pPr>
      <w:rPr>
        <w:rFonts w:ascii="Arial" w:hAnsi="Arial" w:hint="default"/>
      </w:rPr>
    </w:lvl>
    <w:lvl w:ilvl="2" w:tplc="C58E625C" w:tentative="1">
      <w:start w:val="1"/>
      <w:numFmt w:val="bullet"/>
      <w:lvlText w:val="•"/>
      <w:lvlJc w:val="left"/>
      <w:pPr>
        <w:tabs>
          <w:tab w:val="num" w:pos="2160"/>
        </w:tabs>
        <w:ind w:left="2160" w:hanging="360"/>
      </w:pPr>
      <w:rPr>
        <w:rFonts w:ascii="Arial" w:hAnsi="Arial" w:hint="default"/>
      </w:rPr>
    </w:lvl>
    <w:lvl w:ilvl="3" w:tplc="CB52AEB8" w:tentative="1">
      <w:start w:val="1"/>
      <w:numFmt w:val="bullet"/>
      <w:lvlText w:val="•"/>
      <w:lvlJc w:val="left"/>
      <w:pPr>
        <w:tabs>
          <w:tab w:val="num" w:pos="2880"/>
        </w:tabs>
        <w:ind w:left="2880" w:hanging="360"/>
      </w:pPr>
      <w:rPr>
        <w:rFonts w:ascii="Arial" w:hAnsi="Arial" w:hint="default"/>
      </w:rPr>
    </w:lvl>
    <w:lvl w:ilvl="4" w:tplc="53903952" w:tentative="1">
      <w:start w:val="1"/>
      <w:numFmt w:val="bullet"/>
      <w:lvlText w:val="•"/>
      <w:lvlJc w:val="left"/>
      <w:pPr>
        <w:tabs>
          <w:tab w:val="num" w:pos="3600"/>
        </w:tabs>
        <w:ind w:left="3600" w:hanging="360"/>
      </w:pPr>
      <w:rPr>
        <w:rFonts w:ascii="Arial" w:hAnsi="Arial" w:hint="default"/>
      </w:rPr>
    </w:lvl>
    <w:lvl w:ilvl="5" w:tplc="80D6FEF4" w:tentative="1">
      <w:start w:val="1"/>
      <w:numFmt w:val="bullet"/>
      <w:lvlText w:val="•"/>
      <w:lvlJc w:val="left"/>
      <w:pPr>
        <w:tabs>
          <w:tab w:val="num" w:pos="4320"/>
        </w:tabs>
        <w:ind w:left="4320" w:hanging="360"/>
      </w:pPr>
      <w:rPr>
        <w:rFonts w:ascii="Arial" w:hAnsi="Arial" w:hint="default"/>
      </w:rPr>
    </w:lvl>
    <w:lvl w:ilvl="6" w:tplc="A412AF7A" w:tentative="1">
      <w:start w:val="1"/>
      <w:numFmt w:val="bullet"/>
      <w:lvlText w:val="•"/>
      <w:lvlJc w:val="left"/>
      <w:pPr>
        <w:tabs>
          <w:tab w:val="num" w:pos="5040"/>
        </w:tabs>
        <w:ind w:left="5040" w:hanging="360"/>
      </w:pPr>
      <w:rPr>
        <w:rFonts w:ascii="Arial" w:hAnsi="Arial" w:hint="default"/>
      </w:rPr>
    </w:lvl>
    <w:lvl w:ilvl="7" w:tplc="4660368C" w:tentative="1">
      <w:start w:val="1"/>
      <w:numFmt w:val="bullet"/>
      <w:lvlText w:val="•"/>
      <w:lvlJc w:val="left"/>
      <w:pPr>
        <w:tabs>
          <w:tab w:val="num" w:pos="5760"/>
        </w:tabs>
        <w:ind w:left="5760" w:hanging="360"/>
      </w:pPr>
      <w:rPr>
        <w:rFonts w:ascii="Arial" w:hAnsi="Arial" w:hint="default"/>
      </w:rPr>
    </w:lvl>
    <w:lvl w:ilvl="8" w:tplc="FEA00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972156"/>
    <w:multiLevelType w:val="hybridMultilevel"/>
    <w:tmpl w:val="9382593A"/>
    <w:lvl w:ilvl="0" w:tplc="1706B6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EB71EE"/>
    <w:multiLevelType w:val="hybridMultilevel"/>
    <w:tmpl w:val="21FE70D6"/>
    <w:lvl w:ilvl="0" w:tplc="19EA7190">
      <w:start w:val="1"/>
      <w:numFmt w:val="bullet"/>
      <w:lvlText w:val="•"/>
      <w:lvlJc w:val="left"/>
      <w:pPr>
        <w:tabs>
          <w:tab w:val="num" w:pos="720"/>
        </w:tabs>
        <w:ind w:left="720" w:hanging="360"/>
      </w:pPr>
      <w:rPr>
        <w:rFonts w:ascii="Arial" w:hAnsi="Arial" w:hint="default"/>
      </w:rPr>
    </w:lvl>
    <w:lvl w:ilvl="1" w:tplc="0C52091E" w:tentative="1">
      <w:start w:val="1"/>
      <w:numFmt w:val="bullet"/>
      <w:lvlText w:val="•"/>
      <w:lvlJc w:val="left"/>
      <w:pPr>
        <w:tabs>
          <w:tab w:val="num" w:pos="1440"/>
        </w:tabs>
        <w:ind w:left="1440" w:hanging="360"/>
      </w:pPr>
      <w:rPr>
        <w:rFonts w:ascii="Arial" w:hAnsi="Arial" w:hint="default"/>
      </w:rPr>
    </w:lvl>
    <w:lvl w:ilvl="2" w:tplc="22AC761E" w:tentative="1">
      <w:start w:val="1"/>
      <w:numFmt w:val="bullet"/>
      <w:lvlText w:val="•"/>
      <w:lvlJc w:val="left"/>
      <w:pPr>
        <w:tabs>
          <w:tab w:val="num" w:pos="2160"/>
        </w:tabs>
        <w:ind w:left="2160" w:hanging="360"/>
      </w:pPr>
      <w:rPr>
        <w:rFonts w:ascii="Arial" w:hAnsi="Arial" w:hint="default"/>
      </w:rPr>
    </w:lvl>
    <w:lvl w:ilvl="3" w:tplc="B91E2E24" w:tentative="1">
      <w:start w:val="1"/>
      <w:numFmt w:val="bullet"/>
      <w:lvlText w:val="•"/>
      <w:lvlJc w:val="left"/>
      <w:pPr>
        <w:tabs>
          <w:tab w:val="num" w:pos="2880"/>
        </w:tabs>
        <w:ind w:left="2880" w:hanging="360"/>
      </w:pPr>
      <w:rPr>
        <w:rFonts w:ascii="Arial" w:hAnsi="Arial" w:hint="default"/>
      </w:rPr>
    </w:lvl>
    <w:lvl w:ilvl="4" w:tplc="90603A4C" w:tentative="1">
      <w:start w:val="1"/>
      <w:numFmt w:val="bullet"/>
      <w:lvlText w:val="•"/>
      <w:lvlJc w:val="left"/>
      <w:pPr>
        <w:tabs>
          <w:tab w:val="num" w:pos="3600"/>
        </w:tabs>
        <w:ind w:left="3600" w:hanging="360"/>
      </w:pPr>
      <w:rPr>
        <w:rFonts w:ascii="Arial" w:hAnsi="Arial" w:hint="default"/>
      </w:rPr>
    </w:lvl>
    <w:lvl w:ilvl="5" w:tplc="EB90794A" w:tentative="1">
      <w:start w:val="1"/>
      <w:numFmt w:val="bullet"/>
      <w:lvlText w:val="•"/>
      <w:lvlJc w:val="left"/>
      <w:pPr>
        <w:tabs>
          <w:tab w:val="num" w:pos="4320"/>
        </w:tabs>
        <w:ind w:left="4320" w:hanging="360"/>
      </w:pPr>
      <w:rPr>
        <w:rFonts w:ascii="Arial" w:hAnsi="Arial" w:hint="default"/>
      </w:rPr>
    </w:lvl>
    <w:lvl w:ilvl="6" w:tplc="726AA4F0" w:tentative="1">
      <w:start w:val="1"/>
      <w:numFmt w:val="bullet"/>
      <w:lvlText w:val="•"/>
      <w:lvlJc w:val="left"/>
      <w:pPr>
        <w:tabs>
          <w:tab w:val="num" w:pos="5040"/>
        </w:tabs>
        <w:ind w:left="5040" w:hanging="360"/>
      </w:pPr>
      <w:rPr>
        <w:rFonts w:ascii="Arial" w:hAnsi="Arial" w:hint="default"/>
      </w:rPr>
    </w:lvl>
    <w:lvl w:ilvl="7" w:tplc="2C5AECA0" w:tentative="1">
      <w:start w:val="1"/>
      <w:numFmt w:val="bullet"/>
      <w:lvlText w:val="•"/>
      <w:lvlJc w:val="left"/>
      <w:pPr>
        <w:tabs>
          <w:tab w:val="num" w:pos="5760"/>
        </w:tabs>
        <w:ind w:left="5760" w:hanging="360"/>
      </w:pPr>
      <w:rPr>
        <w:rFonts w:ascii="Arial" w:hAnsi="Arial" w:hint="default"/>
      </w:rPr>
    </w:lvl>
    <w:lvl w:ilvl="8" w:tplc="33BC2A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4C0764"/>
    <w:multiLevelType w:val="hybridMultilevel"/>
    <w:tmpl w:val="4A8C295C"/>
    <w:lvl w:ilvl="0" w:tplc="3C783D70">
      <w:start w:val="1"/>
      <w:numFmt w:val="bullet"/>
      <w:lvlText w:val=""/>
      <w:lvlJc w:val="left"/>
      <w:pPr>
        <w:tabs>
          <w:tab w:val="num" w:pos="720"/>
        </w:tabs>
        <w:ind w:left="720" w:hanging="360"/>
      </w:pPr>
      <w:rPr>
        <w:rFonts w:ascii="Symbol" w:hAnsi="Symbol" w:hint="default"/>
      </w:rPr>
    </w:lvl>
    <w:lvl w:ilvl="1" w:tplc="4672FEBC" w:tentative="1">
      <w:start w:val="1"/>
      <w:numFmt w:val="bullet"/>
      <w:lvlText w:val=""/>
      <w:lvlJc w:val="left"/>
      <w:pPr>
        <w:tabs>
          <w:tab w:val="num" w:pos="1440"/>
        </w:tabs>
        <w:ind w:left="1440" w:hanging="360"/>
      </w:pPr>
      <w:rPr>
        <w:rFonts w:ascii="Symbol" w:hAnsi="Symbol" w:hint="default"/>
      </w:rPr>
    </w:lvl>
    <w:lvl w:ilvl="2" w:tplc="2EA837C0" w:tentative="1">
      <w:start w:val="1"/>
      <w:numFmt w:val="bullet"/>
      <w:lvlText w:val=""/>
      <w:lvlJc w:val="left"/>
      <w:pPr>
        <w:tabs>
          <w:tab w:val="num" w:pos="2160"/>
        </w:tabs>
        <w:ind w:left="2160" w:hanging="360"/>
      </w:pPr>
      <w:rPr>
        <w:rFonts w:ascii="Symbol" w:hAnsi="Symbol" w:hint="default"/>
      </w:rPr>
    </w:lvl>
    <w:lvl w:ilvl="3" w:tplc="3F56270C" w:tentative="1">
      <w:start w:val="1"/>
      <w:numFmt w:val="bullet"/>
      <w:lvlText w:val=""/>
      <w:lvlJc w:val="left"/>
      <w:pPr>
        <w:tabs>
          <w:tab w:val="num" w:pos="2880"/>
        </w:tabs>
        <w:ind w:left="2880" w:hanging="360"/>
      </w:pPr>
      <w:rPr>
        <w:rFonts w:ascii="Symbol" w:hAnsi="Symbol" w:hint="default"/>
      </w:rPr>
    </w:lvl>
    <w:lvl w:ilvl="4" w:tplc="40149454" w:tentative="1">
      <w:start w:val="1"/>
      <w:numFmt w:val="bullet"/>
      <w:lvlText w:val=""/>
      <w:lvlJc w:val="left"/>
      <w:pPr>
        <w:tabs>
          <w:tab w:val="num" w:pos="3600"/>
        </w:tabs>
        <w:ind w:left="3600" w:hanging="360"/>
      </w:pPr>
      <w:rPr>
        <w:rFonts w:ascii="Symbol" w:hAnsi="Symbol" w:hint="default"/>
      </w:rPr>
    </w:lvl>
    <w:lvl w:ilvl="5" w:tplc="DCE83530" w:tentative="1">
      <w:start w:val="1"/>
      <w:numFmt w:val="bullet"/>
      <w:lvlText w:val=""/>
      <w:lvlJc w:val="left"/>
      <w:pPr>
        <w:tabs>
          <w:tab w:val="num" w:pos="4320"/>
        </w:tabs>
        <w:ind w:left="4320" w:hanging="360"/>
      </w:pPr>
      <w:rPr>
        <w:rFonts w:ascii="Symbol" w:hAnsi="Symbol" w:hint="default"/>
      </w:rPr>
    </w:lvl>
    <w:lvl w:ilvl="6" w:tplc="C4FC6F80" w:tentative="1">
      <w:start w:val="1"/>
      <w:numFmt w:val="bullet"/>
      <w:lvlText w:val=""/>
      <w:lvlJc w:val="left"/>
      <w:pPr>
        <w:tabs>
          <w:tab w:val="num" w:pos="5040"/>
        </w:tabs>
        <w:ind w:left="5040" w:hanging="360"/>
      </w:pPr>
      <w:rPr>
        <w:rFonts w:ascii="Symbol" w:hAnsi="Symbol" w:hint="default"/>
      </w:rPr>
    </w:lvl>
    <w:lvl w:ilvl="7" w:tplc="19FE63D0" w:tentative="1">
      <w:start w:val="1"/>
      <w:numFmt w:val="bullet"/>
      <w:lvlText w:val=""/>
      <w:lvlJc w:val="left"/>
      <w:pPr>
        <w:tabs>
          <w:tab w:val="num" w:pos="5760"/>
        </w:tabs>
        <w:ind w:left="5760" w:hanging="360"/>
      </w:pPr>
      <w:rPr>
        <w:rFonts w:ascii="Symbol" w:hAnsi="Symbol" w:hint="default"/>
      </w:rPr>
    </w:lvl>
    <w:lvl w:ilvl="8" w:tplc="7E1A0D5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1B453B8"/>
    <w:multiLevelType w:val="hybridMultilevel"/>
    <w:tmpl w:val="069C10AC"/>
    <w:lvl w:ilvl="0" w:tplc="FB00D070">
      <w:start w:val="1"/>
      <w:numFmt w:val="bullet"/>
      <w:lvlText w:val="•"/>
      <w:lvlJc w:val="left"/>
      <w:pPr>
        <w:tabs>
          <w:tab w:val="num" w:pos="720"/>
        </w:tabs>
        <w:ind w:left="720" w:hanging="360"/>
      </w:pPr>
      <w:rPr>
        <w:rFonts w:ascii="Arial" w:hAnsi="Arial" w:hint="default"/>
      </w:rPr>
    </w:lvl>
    <w:lvl w:ilvl="1" w:tplc="E7007328" w:tentative="1">
      <w:start w:val="1"/>
      <w:numFmt w:val="bullet"/>
      <w:lvlText w:val="•"/>
      <w:lvlJc w:val="left"/>
      <w:pPr>
        <w:tabs>
          <w:tab w:val="num" w:pos="1440"/>
        </w:tabs>
        <w:ind w:left="1440" w:hanging="360"/>
      </w:pPr>
      <w:rPr>
        <w:rFonts w:ascii="Arial" w:hAnsi="Arial" w:hint="default"/>
      </w:rPr>
    </w:lvl>
    <w:lvl w:ilvl="2" w:tplc="394C9944" w:tentative="1">
      <w:start w:val="1"/>
      <w:numFmt w:val="bullet"/>
      <w:lvlText w:val="•"/>
      <w:lvlJc w:val="left"/>
      <w:pPr>
        <w:tabs>
          <w:tab w:val="num" w:pos="2160"/>
        </w:tabs>
        <w:ind w:left="2160" w:hanging="360"/>
      </w:pPr>
      <w:rPr>
        <w:rFonts w:ascii="Arial" w:hAnsi="Arial" w:hint="default"/>
      </w:rPr>
    </w:lvl>
    <w:lvl w:ilvl="3" w:tplc="2E0619FE" w:tentative="1">
      <w:start w:val="1"/>
      <w:numFmt w:val="bullet"/>
      <w:lvlText w:val="•"/>
      <w:lvlJc w:val="left"/>
      <w:pPr>
        <w:tabs>
          <w:tab w:val="num" w:pos="2880"/>
        </w:tabs>
        <w:ind w:left="2880" w:hanging="360"/>
      </w:pPr>
      <w:rPr>
        <w:rFonts w:ascii="Arial" w:hAnsi="Arial" w:hint="default"/>
      </w:rPr>
    </w:lvl>
    <w:lvl w:ilvl="4" w:tplc="AC0E2BFE" w:tentative="1">
      <w:start w:val="1"/>
      <w:numFmt w:val="bullet"/>
      <w:lvlText w:val="•"/>
      <w:lvlJc w:val="left"/>
      <w:pPr>
        <w:tabs>
          <w:tab w:val="num" w:pos="3600"/>
        </w:tabs>
        <w:ind w:left="3600" w:hanging="360"/>
      </w:pPr>
      <w:rPr>
        <w:rFonts w:ascii="Arial" w:hAnsi="Arial" w:hint="default"/>
      </w:rPr>
    </w:lvl>
    <w:lvl w:ilvl="5" w:tplc="11FC6DB6" w:tentative="1">
      <w:start w:val="1"/>
      <w:numFmt w:val="bullet"/>
      <w:lvlText w:val="•"/>
      <w:lvlJc w:val="left"/>
      <w:pPr>
        <w:tabs>
          <w:tab w:val="num" w:pos="4320"/>
        </w:tabs>
        <w:ind w:left="4320" w:hanging="360"/>
      </w:pPr>
      <w:rPr>
        <w:rFonts w:ascii="Arial" w:hAnsi="Arial" w:hint="default"/>
      </w:rPr>
    </w:lvl>
    <w:lvl w:ilvl="6" w:tplc="54F802E8" w:tentative="1">
      <w:start w:val="1"/>
      <w:numFmt w:val="bullet"/>
      <w:lvlText w:val="•"/>
      <w:lvlJc w:val="left"/>
      <w:pPr>
        <w:tabs>
          <w:tab w:val="num" w:pos="5040"/>
        </w:tabs>
        <w:ind w:left="5040" w:hanging="360"/>
      </w:pPr>
      <w:rPr>
        <w:rFonts w:ascii="Arial" w:hAnsi="Arial" w:hint="default"/>
      </w:rPr>
    </w:lvl>
    <w:lvl w:ilvl="7" w:tplc="F1C46CAC" w:tentative="1">
      <w:start w:val="1"/>
      <w:numFmt w:val="bullet"/>
      <w:lvlText w:val="•"/>
      <w:lvlJc w:val="left"/>
      <w:pPr>
        <w:tabs>
          <w:tab w:val="num" w:pos="5760"/>
        </w:tabs>
        <w:ind w:left="5760" w:hanging="360"/>
      </w:pPr>
      <w:rPr>
        <w:rFonts w:ascii="Arial" w:hAnsi="Arial" w:hint="default"/>
      </w:rPr>
    </w:lvl>
    <w:lvl w:ilvl="8" w:tplc="625E4D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2"/>
    <w:lvlOverride w:ilvl="0">
      <w:startOverride w:val="4"/>
    </w:lvlOverride>
  </w:num>
  <w:num w:numId="4">
    <w:abstractNumId w:val="2"/>
    <w:lvlOverride w:ilvl="0">
      <w:startOverride w:val="4"/>
    </w:lvlOverride>
  </w:num>
  <w:num w:numId="5">
    <w:abstractNumId w:val="2"/>
    <w:lvlOverride w:ilvl="0">
      <w:startOverride w:val="1"/>
    </w:lvlOverride>
  </w:num>
  <w:num w:numId="6">
    <w:abstractNumId w:val="0"/>
  </w:num>
  <w:num w:numId="7">
    <w:abstractNumId w:val="4"/>
  </w:num>
  <w:num w:numId="8">
    <w:abstractNumId w:val="3"/>
  </w:num>
  <w:num w:numId="9">
    <w:abstractNumId w:val="8"/>
  </w:num>
  <w:num w:numId="10">
    <w:abstractNumId w:val="1"/>
  </w:num>
  <w:num w:numId="11">
    <w:abstractNumId w:val="5"/>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AD6"/>
    <w:rsid w:val="00086AF5"/>
    <w:rsid w:val="0008739A"/>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4975"/>
    <w:rsid w:val="002C1C60"/>
    <w:rsid w:val="002C6E7D"/>
    <w:rsid w:val="002D5B91"/>
    <w:rsid w:val="002E2D52"/>
    <w:rsid w:val="002E64DF"/>
    <w:rsid w:val="002F3A5C"/>
    <w:rsid w:val="002F445C"/>
    <w:rsid w:val="00312FDF"/>
    <w:rsid w:val="0031327D"/>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17C1"/>
    <w:rsid w:val="00445CE2"/>
    <w:rsid w:val="004575CA"/>
    <w:rsid w:val="00460D9A"/>
    <w:rsid w:val="0046214D"/>
    <w:rsid w:val="00471B1E"/>
    <w:rsid w:val="00475165"/>
    <w:rsid w:val="00480BF2"/>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224B6"/>
    <w:rsid w:val="00623E28"/>
    <w:rsid w:val="00642019"/>
    <w:rsid w:val="006441E1"/>
    <w:rsid w:val="00655080"/>
    <w:rsid w:val="00657D44"/>
    <w:rsid w:val="00667EC9"/>
    <w:rsid w:val="0067024A"/>
    <w:rsid w:val="00674CEA"/>
    <w:rsid w:val="00676F61"/>
    <w:rsid w:val="0068073D"/>
    <w:rsid w:val="006810F0"/>
    <w:rsid w:val="006812B1"/>
    <w:rsid w:val="00682F3E"/>
    <w:rsid w:val="00690178"/>
    <w:rsid w:val="006A28E1"/>
    <w:rsid w:val="006A2972"/>
    <w:rsid w:val="006A5087"/>
    <w:rsid w:val="006A581B"/>
    <w:rsid w:val="006B212B"/>
    <w:rsid w:val="006C3F93"/>
    <w:rsid w:val="006E2512"/>
    <w:rsid w:val="006F1035"/>
    <w:rsid w:val="006F6C8A"/>
    <w:rsid w:val="006F7E38"/>
    <w:rsid w:val="007022BE"/>
    <w:rsid w:val="00703262"/>
    <w:rsid w:val="00711E57"/>
    <w:rsid w:val="00712E87"/>
    <w:rsid w:val="0071328F"/>
    <w:rsid w:val="00732181"/>
    <w:rsid w:val="007353FB"/>
    <w:rsid w:val="00735641"/>
    <w:rsid w:val="007375E5"/>
    <w:rsid w:val="00745528"/>
    <w:rsid w:val="00747D32"/>
    <w:rsid w:val="0075626D"/>
    <w:rsid w:val="00762AAB"/>
    <w:rsid w:val="0076452B"/>
    <w:rsid w:val="00766A20"/>
    <w:rsid w:val="00773BD1"/>
    <w:rsid w:val="00777032"/>
    <w:rsid w:val="00785CA2"/>
    <w:rsid w:val="007A6F82"/>
    <w:rsid w:val="007B0930"/>
    <w:rsid w:val="007B0D1C"/>
    <w:rsid w:val="007B3FCF"/>
    <w:rsid w:val="007B5580"/>
    <w:rsid w:val="007C0765"/>
    <w:rsid w:val="007C2CC2"/>
    <w:rsid w:val="007C4789"/>
    <w:rsid w:val="007D3F40"/>
    <w:rsid w:val="007D48AE"/>
    <w:rsid w:val="007D64AA"/>
    <w:rsid w:val="007E7521"/>
    <w:rsid w:val="00804073"/>
    <w:rsid w:val="00806AF2"/>
    <w:rsid w:val="00813E71"/>
    <w:rsid w:val="008175EE"/>
    <w:rsid w:val="008214C2"/>
    <w:rsid w:val="00827B6C"/>
    <w:rsid w:val="00833737"/>
    <w:rsid w:val="0084129E"/>
    <w:rsid w:val="008519C6"/>
    <w:rsid w:val="00863CE7"/>
    <w:rsid w:val="00867BA9"/>
    <w:rsid w:val="00870E41"/>
    <w:rsid w:val="00874365"/>
    <w:rsid w:val="008864D8"/>
    <w:rsid w:val="008878BC"/>
    <w:rsid w:val="00893630"/>
    <w:rsid w:val="008A77B4"/>
    <w:rsid w:val="008B06F4"/>
    <w:rsid w:val="008B46DB"/>
    <w:rsid w:val="008B7D84"/>
    <w:rsid w:val="008C3CFA"/>
    <w:rsid w:val="008C5B64"/>
    <w:rsid w:val="008D74D7"/>
    <w:rsid w:val="008E0D9E"/>
    <w:rsid w:val="008E1B53"/>
    <w:rsid w:val="00905927"/>
    <w:rsid w:val="00911F07"/>
    <w:rsid w:val="0091605F"/>
    <w:rsid w:val="00920890"/>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2DE2"/>
    <w:rsid w:val="00B3090A"/>
    <w:rsid w:val="00B416A2"/>
    <w:rsid w:val="00B5405D"/>
    <w:rsid w:val="00B56489"/>
    <w:rsid w:val="00B5731E"/>
    <w:rsid w:val="00B70213"/>
    <w:rsid w:val="00B73F26"/>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5174D"/>
    <w:rsid w:val="00C63996"/>
    <w:rsid w:val="00C653E7"/>
    <w:rsid w:val="00C86236"/>
    <w:rsid w:val="00C94C9B"/>
    <w:rsid w:val="00CA723F"/>
    <w:rsid w:val="00CA7C72"/>
    <w:rsid w:val="00CB7EF4"/>
    <w:rsid w:val="00CC3102"/>
    <w:rsid w:val="00CC6D24"/>
    <w:rsid w:val="00CD43F5"/>
    <w:rsid w:val="00CF7244"/>
    <w:rsid w:val="00D03399"/>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22C9D"/>
    <w:rsid w:val="00E26324"/>
    <w:rsid w:val="00E27F7F"/>
    <w:rsid w:val="00E46622"/>
    <w:rsid w:val="00E51771"/>
    <w:rsid w:val="00E635F9"/>
    <w:rsid w:val="00E64458"/>
    <w:rsid w:val="00E95BAC"/>
    <w:rsid w:val="00EA2005"/>
    <w:rsid w:val="00EA2777"/>
    <w:rsid w:val="00EA3A9C"/>
    <w:rsid w:val="00EC2A68"/>
    <w:rsid w:val="00EC5F03"/>
    <w:rsid w:val="00EC70AF"/>
    <w:rsid w:val="00EE39BF"/>
    <w:rsid w:val="00EF2E89"/>
    <w:rsid w:val="00EF44AE"/>
    <w:rsid w:val="00EF4648"/>
    <w:rsid w:val="00EF5A0D"/>
    <w:rsid w:val="00EF653D"/>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932BF8"/>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982273486">
      <w:bodyDiv w:val="1"/>
      <w:marLeft w:val="0"/>
      <w:marRight w:val="0"/>
      <w:marTop w:val="0"/>
      <w:marBottom w:val="0"/>
      <w:divBdr>
        <w:top w:val="none" w:sz="0" w:space="0" w:color="auto"/>
        <w:left w:val="none" w:sz="0" w:space="0" w:color="auto"/>
        <w:bottom w:val="none" w:sz="0" w:space="0" w:color="auto"/>
        <w:right w:val="none" w:sz="0" w:space="0" w:color="auto"/>
      </w:divBdr>
      <w:divsChild>
        <w:div w:id="304703194">
          <w:marLeft w:val="360"/>
          <w:marRight w:val="0"/>
          <w:marTop w:val="200"/>
          <w:marBottom w:val="0"/>
          <w:divBdr>
            <w:top w:val="none" w:sz="0" w:space="0" w:color="auto"/>
            <w:left w:val="none" w:sz="0" w:space="0" w:color="auto"/>
            <w:bottom w:val="none" w:sz="0" w:space="0" w:color="auto"/>
            <w:right w:val="none" w:sz="0" w:space="0" w:color="auto"/>
          </w:divBdr>
        </w:div>
        <w:div w:id="1525240707">
          <w:marLeft w:val="360"/>
          <w:marRight w:val="0"/>
          <w:marTop w:val="200"/>
          <w:marBottom w:val="0"/>
          <w:divBdr>
            <w:top w:val="none" w:sz="0" w:space="0" w:color="auto"/>
            <w:left w:val="none" w:sz="0" w:space="0" w:color="auto"/>
            <w:bottom w:val="none" w:sz="0" w:space="0" w:color="auto"/>
            <w:right w:val="none" w:sz="0" w:space="0" w:color="auto"/>
          </w:divBdr>
        </w:div>
        <w:div w:id="500119384">
          <w:marLeft w:val="360"/>
          <w:marRight w:val="0"/>
          <w:marTop w:val="200"/>
          <w:marBottom w:val="0"/>
          <w:divBdr>
            <w:top w:val="none" w:sz="0" w:space="0" w:color="auto"/>
            <w:left w:val="none" w:sz="0" w:space="0" w:color="auto"/>
            <w:bottom w:val="none" w:sz="0" w:space="0" w:color="auto"/>
            <w:right w:val="none" w:sz="0" w:space="0" w:color="auto"/>
          </w:divBdr>
        </w:div>
      </w:divsChild>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386955333">
      <w:bodyDiv w:val="1"/>
      <w:marLeft w:val="0"/>
      <w:marRight w:val="0"/>
      <w:marTop w:val="0"/>
      <w:marBottom w:val="0"/>
      <w:divBdr>
        <w:top w:val="none" w:sz="0" w:space="0" w:color="auto"/>
        <w:left w:val="none" w:sz="0" w:space="0" w:color="auto"/>
        <w:bottom w:val="none" w:sz="0" w:space="0" w:color="auto"/>
        <w:right w:val="none" w:sz="0" w:space="0" w:color="auto"/>
      </w:divBdr>
      <w:divsChild>
        <w:div w:id="575480000">
          <w:marLeft w:val="360"/>
          <w:marRight w:val="0"/>
          <w:marTop w:val="200"/>
          <w:marBottom w:val="0"/>
          <w:divBdr>
            <w:top w:val="none" w:sz="0" w:space="0" w:color="auto"/>
            <w:left w:val="none" w:sz="0" w:space="0" w:color="auto"/>
            <w:bottom w:val="none" w:sz="0" w:space="0" w:color="auto"/>
            <w:right w:val="none" w:sz="0" w:space="0" w:color="auto"/>
          </w:divBdr>
        </w:div>
        <w:div w:id="1308364883">
          <w:marLeft w:val="360"/>
          <w:marRight w:val="0"/>
          <w:marTop w:val="200"/>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9E18AE-6DA6-424E-BF88-32D8650A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7666</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Elisabeth Tatreaux</cp:lastModifiedBy>
  <cp:revision>3</cp:revision>
  <cp:lastPrinted>2024-12-09T09:00:00Z</cp:lastPrinted>
  <dcterms:created xsi:type="dcterms:W3CDTF">2025-01-29T14:48:00Z</dcterms:created>
  <dcterms:modified xsi:type="dcterms:W3CDTF">2025-01-29T14:50:00Z</dcterms:modified>
</cp:coreProperties>
</file>